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66283" w14:textId="5CA783BB" w:rsidR="004E6F0A" w:rsidRPr="00AA6EFA" w:rsidRDefault="004E6F0A" w:rsidP="00B74295">
      <w:pPr>
        <w:ind w:left="142"/>
        <w:jc w:val="center"/>
        <w:rPr>
          <w:rFonts w:ascii="Arial" w:eastAsia="Arial" w:hAnsi="Arial"/>
          <w:b/>
          <w:sz w:val="16"/>
          <w:szCs w:val="16"/>
          <w:lang w:eastAsia="pt-BR"/>
        </w:rPr>
      </w:pPr>
      <w:r w:rsidRPr="00AA6EFA">
        <w:rPr>
          <w:rFonts w:ascii="Arial" w:eastAsia="Arial" w:hAnsi="Arial"/>
          <w:b/>
          <w:sz w:val="16"/>
          <w:szCs w:val="16"/>
          <w:lang w:eastAsia="pt-BR"/>
        </w:rPr>
        <w:t>Anexo XV</w:t>
      </w:r>
    </w:p>
    <w:p w14:paraId="04FE3E58" w14:textId="77777777" w:rsidR="004E6F0A" w:rsidRPr="00AA6EFA" w:rsidRDefault="004E6F0A" w:rsidP="00B74295">
      <w:pPr>
        <w:ind w:left="142"/>
        <w:jc w:val="center"/>
        <w:rPr>
          <w:rFonts w:ascii="Arial" w:eastAsia="Arial" w:hAnsi="Arial"/>
          <w:bCs/>
          <w:sz w:val="16"/>
          <w:szCs w:val="16"/>
          <w:lang w:eastAsia="pt-BR"/>
        </w:rPr>
      </w:pPr>
      <w:r w:rsidRPr="00AA6EFA">
        <w:rPr>
          <w:rFonts w:ascii="Arial" w:eastAsia="Arial" w:hAnsi="Arial"/>
          <w:bCs/>
          <w:sz w:val="16"/>
          <w:szCs w:val="16"/>
          <w:lang w:eastAsia="pt-BR"/>
        </w:rPr>
        <w:t>Aditivo Contratual</w:t>
      </w:r>
    </w:p>
    <w:p w14:paraId="497AB72D" w14:textId="77777777" w:rsidR="004E6F0A" w:rsidRPr="00AA6EFA" w:rsidRDefault="004E6F0A" w:rsidP="00B74295">
      <w:pPr>
        <w:spacing w:line="0" w:lineRule="atLeast"/>
        <w:ind w:left="142"/>
        <w:rPr>
          <w:rFonts w:ascii="Arial" w:hAnsi="Arial"/>
          <w:sz w:val="16"/>
          <w:szCs w:val="16"/>
        </w:rPr>
      </w:pPr>
    </w:p>
    <w:tbl>
      <w:tblPr>
        <w:tblW w:w="10146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1960"/>
        <w:gridCol w:w="1560"/>
        <w:gridCol w:w="1057"/>
        <w:gridCol w:w="840"/>
        <w:gridCol w:w="1303"/>
      </w:tblGrid>
      <w:tr w:rsidR="001D0E03" w:rsidRPr="00B74295" w14:paraId="7950B44B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D21E21" w14:textId="77777777" w:rsidR="004E6F0A" w:rsidRPr="00A512B1" w:rsidRDefault="004E6F0A" w:rsidP="00B74295">
            <w:pPr>
              <w:ind w:left="142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DA973B" w14:textId="77777777" w:rsidR="004E6F0A" w:rsidRPr="00A512B1" w:rsidRDefault="004E6F0A" w:rsidP="00B74295">
            <w:pPr>
              <w:ind w:left="142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  <w:t>Base Legal e Referências (Critério)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AEF004" w14:textId="77777777" w:rsidR="0044179A" w:rsidRDefault="0006680A" w:rsidP="0044179A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  <w:t xml:space="preserve">Responsável pela </w:t>
            </w:r>
            <w:r w:rsidR="004E6F0A" w:rsidRPr="00A512B1"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  <w:t>documentação</w:t>
            </w:r>
          </w:p>
          <w:p w14:paraId="12E8719A" w14:textId="0D3AB428" w:rsidR="004E6F0A" w:rsidRPr="00A512B1" w:rsidRDefault="004E6F0A" w:rsidP="0044179A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  <w:t>(1ª linha)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5AD923" w14:textId="491C339B" w:rsidR="004E6F0A" w:rsidRPr="00A512B1" w:rsidRDefault="002E416C" w:rsidP="00B74295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  <w:t>Evidência e</w:t>
            </w:r>
            <w:r w:rsidR="004E6F0A" w:rsidRPr="00A512B1"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  <w:t>sperada (Condição)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E120DC" w14:textId="6E0D64CD" w:rsidR="004E6F0A" w:rsidRPr="00A512B1" w:rsidRDefault="004E6F0A" w:rsidP="00B74295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  <w:t>Nº da peça no</w:t>
            </w:r>
            <w:r w:rsidR="0006680A" w:rsidRPr="00A512B1"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A512B1"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  <w:t>e-Docs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B65E5B" w14:textId="77777777" w:rsidR="004E6F0A" w:rsidRPr="00A512B1" w:rsidRDefault="004E6F0A" w:rsidP="00B74295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034E9903" w14:textId="77777777" w:rsidR="004E6F0A" w:rsidRPr="00A512B1" w:rsidRDefault="004E6F0A" w:rsidP="00B74295">
            <w:pPr>
              <w:ind w:left="142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/>
                <w:b/>
                <w:bCs/>
                <w:sz w:val="16"/>
                <w:szCs w:val="16"/>
                <w:lang w:eastAsia="pt-BR"/>
              </w:rPr>
              <w:t>(2ª linha)</w:t>
            </w:r>
          </w:p>
        </w:tc>
      </w:tr>
      <w:tr w:rsidR="001D0E03" w:rsidRPr="00B74295" w14:paraId="0E15C76B" w14:textId="77777777" w:rsidTr="00B12E39">
        <w:trPr>
          <w:trHeight w:val="376"/>
        </w:trPr>
        <w:tc>
          <w:tcPr>
            <w:tcW w:w="10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79433F" w14:textId="25FA0DA6" w:rsidR="00DD46ED" w:rsidRPr="00A512B1" w:rsidRDefault="00DD3766" w:rsidP="00AA6EFA">
            <w:pPr>
              <w:widowControl w:val="0"/>
              <w:snapToGrid w:val="0"/>
              <w:rPr>
                <w:rFonts w:ascii="Arial" w:hAnsi="Arial"/>
                <w:b/>
                <w:sz w:val="16"/>
                <w:szCs w:val="16"/>
              </w:rPr>
            </w:pPr>
            <w:r w:rsidRPr="00A512B1">
              <w:rPr>
                <w:rFonts w:ascii="Arial" w:hAnsi="Arial"/>
                <w:b/>
                <w:sz w:val="16"/>
                <w:szCs w:val="16"/>
              </w:rPr>
              <w:t xml:space="preserve">1. </w:t>
            </w:r>
            <w:r w:rsidR="00DD46ED" w:rsidRPr="00A512B1">
              <w:rPr>
                <w:rFonts w:ascii="Arial" w:hAnsi="Arial"/>
                <w:b/>
                <w:sz w:val="16"/>
                <w:szCs w:val="16"/>
              </w:rPr>
              <w:t>Instrução Inicial</w:t>
            </w:r>
          </w:p>
        </w:tc>
      </w:tr>
      <w:tr w:rsidR="003C3F2F" w:rsidRPr="00B74295" w14:paraId="08E96FEE" w14:textId="77777777" w:rsidTr="0044179A">
        <w:trPr>
          <w:trHeight w:val="790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1A7E5" w14:textId="6140D73D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19"/>
              </w:numPr>
              <w:spacing w:after="0" w:line="240" w:lineRule="auto"/>
              <w:ind w:left="355" w:righ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</w:rPr>
              <w:t xml:space="preserve">Justificativa da autoridade competente para alteração contratual, em conformidade com a cláusula prevista no contrato e/ou legislação aplicada.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2D655" w14:textId="67BFE516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art. 57, § 2º c/c art. 65 da Lei nº 8.666/93 e Decreto de Execução Orçamentária vigente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5420F" w14:textId="2544A499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Ordenador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4DFDC" w14:textId="77777777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 de solicitação inicial</w:t>
            </w:r>
          </w:p>
          <w:p w14:paraId="688CD223" w14:textId="77777777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</w:t>
            </w:r>
          </w:p>
          <w:p w14:paraId="7D667309" w14:textId="77777777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Ofício</w:t>
            </w:r>
          </w:p>
          <w:p w14:paraId="34D428B8" w14:textId="5E5816CE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/>
                <w:sz w:val="16"/>
                <w:szCs w:val="16"/>
                <w:lang w:eastAsia="pt-BR"/>
              </w:rPr>
              <w:t>Despacho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AEAA4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88093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2770FD2F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F1869" w14:textId="58846359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19"/>
              </w:numPr>
              <w:spacing w:after="0" w:line="240" w:lineRule="auto"/>
              <w:ind w:left="355" w:right="142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</w:rPr>
              <w:t>Juntada do contrato principal e termos aditivos ou apostilamentos precedentes, devidamente assinados.</w:t>
            </w:r>
          </w:p>
          <w:p w14:paraId="7E77BFEB" w14:textId="05AFA902" w:rsidR="003C3F2F" w:rsidRPr="00A512B1" w:rsidRDefault="003C3F2F" w:rsidP="009447A9">
            <w:pPr>
              <w:widowControl w:val="0"/>
              <w:ind w:left="355" w:right="142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/>
                <w:sz w:val="16"/>
                <w:szCs w:val="16"/>
              </w:rPr>
              <w:t>Obs.: O servidor deve informar a localização do contrato e dos termos aditivos e apostilamentos que antecederam o termo aditivo pretendido no processo. Caso não conste nos autos, o documento deve ser inserido.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A9EFE" w14:textId="080BD324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26398" w14:textId="556B4D55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Requisitante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0C4B8" w14:textId="77777777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Contrato</w:t>
            </w:r>
          </w:p>
          <w:p w14:paraId="2A17CFBD" w14:textId="77777777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/>
                <w:sz w:val="16"/>
                <w:szCs w:val="16"/>
              </w:rPr>
              <w:t>Apostilamento</w:t>
            </w:r>
          </w:p>
          <w:p w14:paraId="7A339894" w14:textId="6E895A1A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/>
                <w:sz w:val="16"/>
                <w:szCs w:val="16"/>
              </w:rPr>
              <w:t>Termo aditivo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16838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E8F7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49A660ED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489F2C" w14:textId="3815593E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19"/>
              </w:numPr>
              <w:spacing w:after="0" w:line="240" w:lineRule="auto"/>
              <w:ind w:left="355" w:right="142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512B1">
              <w:rPr>
                <w:rFonts w:ascii="Arial" w:hAnsi="Arial" w:cs="Arial"/>
                <w:sz w:val="16"/>
                <w:szCs w:val="16"/>
              </w:rPr>
              <w:t>Enquadramento legal que ensejou o aditivo, demonstrando os requisitos dispostos pela Lei</w:t>
            </w:r>
            <w:r w:rsidRPr="00A512B1">
              <w:rPr>
                <w:rStyle w:val="FootnoteAnchor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Pr="00A512B1">
              <w:rPr>
                <w:rStyle w:val="FootnoteAnchor"/>
                <w:rFonts w:ascii="Arial" w:hAnsi="Arial" w:cs="Arial"/>
                <w:b/>
                <w:sz w:val="16"/>
                <w:szCs w:val="16"/>
                <w:vertAlign w:val="baseline"/>
              </w:rPr>
              <w:t>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0F4FA6" w14:textId="25C0E423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art. 65, inciso I, alínea “a” e “b”, inciso II, alínea “a”, “b”, “c” e “d”, da Lei nº 8.666/93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6F6607" w14:textId="1082A839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Requisitante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A9E267" w14:textId="5E8EDE31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Documentos colhidos na entidade ou do fornecedor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5F444F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C8210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58E70629" w14:textId="77777777" w:rsidTr="0044179A">
        <w:trPr>
          <w:trHeight w:val="505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79E39B" w14:textId="51E09BE2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19"/>
              </w:numPr>
              <w:spacing w:after="0" w:line="240" w:lineRule="auto"/>
              <w:ind w:left="355" w:righ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12B1">
              <w:rPr>
                <w:rFonts w:ascii="Arial" w:hAnsi="Arial" w:cs="Arial"/>
                <w:sz w:val="16"/>
                <w:szCs w:val="16"/>
              </w:rPr>
              <w:t>Manifestação do Contratado, quando couber.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1D8FDE" w14:textId="77777777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251A54" w14:textId="7F7C4D39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gestor/fiscal de contrato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6FEAD2" w14:textId="29EEE8CD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Documentos apresentados pelo fornecedor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90601E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4330B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3735193E" w14:textId="77777777" w:rsidTr="003A5934">
        <w:trPr>
          <w:trHeight w:val="330"/>
        </w:trPr>
        <w:tc>
          <w:tcPr>
            <w:tcW w:w="10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94F2D8" w14:textId="725E7A7F" w:rsidR="003C3F2F" w:rsidRPr="00A512B1" w:rsidRDefault="003C3F2F" w:rsidP="009447A9">
            <w:pPr>
              <w:widowControl w:val="0"/>
              <w:snapToGrid w:val="0"/>
              <w:rPr>
                <w:rFonts w:ascii="Arial" w:hAnsi="Arial"/>
                <w:b/>
                <w:sz w:val="16"/>
                <w:szCs w:val="16"/>
              </w:rPr>
            </w:pPr>
            <w:r w:rsidRPr="00A512B1">
              <w:rPr>
                <w:rFonts w:ascii="Arial" w:hAnsi="Arial"/>
                <w:b/>
                <w:sz w:val="16"/>
                <w:szCs w:val="16"/>
              </w:rPr>
              <w:t>2. Caso Específico (Preencher de acordo com o objeto do termo aditivo)</w:t>
            </w:r>
          </w:p>
        </w:tc>
      </w:tr>
      <w:tr w:rsidR="003C3F2F" w:rsidRPr="00B74295" w14:paraId="0A14E371" w14:textId="77777777" w:rsidTr="003A5934">
        <w:tc>
          <w:tcPr>
            <w:tcW w:w="10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ADC96B" w14:textId="33849C57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0"/>
              </w:numPr>
              <w:spacing w:after="0" w:line="240" w:lineRule="auto"/>
              <w:ind w:left="357" w:right="142" w:hanging="3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512B1">
              <w:rPr>
                <w:rFonts w:ascii="Arial" w:hAnsi="Arial" w:cs="Arial"/>
                <w:b/>
                <w:sz w:val="16"/>
                <w:szCs w:val="16"/>
              </w:rPr>
              <w:t>Alteração Qualitativa e Quantitativa:</w:t>
            </w:r>
          </w:p>
        </w:tc>
      </w:tr>
      <w:tr w:rsidR="003C3F2F" w:rsidRPr="00B74295" w14:paraId="6D13829B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FEB7" w14:textId="5210A9F6" w:rsidR="003C3F2F" w:rsidRPr="00A512B1" w:rsidRDefault="003C3F2F" w:rsidP="009447A9">
            <w:pPr>
              <w:widowControl w:val="0"/>
              <w:numPr>
                <w:ilvl w:val="0"/>
                <w:numId w:val="3"/>
              </w:numPr>
              <w:ind w:left="371" w:right="142" w:hanging="284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Memória de cálculo, observado o limite legal na hipótese de acréscimo nos serviços ou compras (até 25% do valor inicial atualizado do contrato ou no caso de reforma de equipamento, até 50% do valor inicial).</w:t>
            </w:r>
            <w:r w:rsidRPr="00A512B1">
              <w:rPr>
                <w:rStyle w:val="FootnoteAnchor"/>
                <w:rFonts w:ascii="Arial" w:hAnsi="Arial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B5FBC" w14:textId="4310A90E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art. 65, § 1º da Lei nº 8.666/93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4A469" w14:textId="3C55867B" w:rsidR="003C3F2F" w:rsidRPr="00A512B1" w:rsidRDefault="003C3F2F" w:rsidP="00FA7BE4">
            <w:pPr>
              <w:pStyle w:val="PargrafodaLista"/>
              <w:numPr>
                <w:ilvl w:val="0"/>
                <w:numId w:val="26"/>
              </w:numPr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Ordenador</w:t>
            </w:r>
            <w:r w:rsidR="00FA7BE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, </w:t>
            </w:r>
            <w:r w:rsidRPr="00A512B1">
              <w:rPr>
                <w:rFonts w:ascii="Arial" w:eastAsia="Times New Roman" w:hAnsi="Arial"/>
                <w:sz w:val="16"/>
                <w:szCs w:val="16"/>
                <w:lang w:eastAsia="pt-BR"/>
              </w:rPr>
              <w:t>Setor de Orçamento.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431C8" w14:textId="4D65C2A2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com justificativa/estudo orçamentário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66CC6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945C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73A522BD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677CF" w14:textId="354FD0F9" w:rsidR="003C3F2F" w:rsidRPr="00A512B1" w:rsidRDefault="003C3F2F" w:rsidP="009447A9">
            <w:pPr>
              <w:widowControl w:val="0"/>
              <w:numPr>
                <w:ilvl w:val="0"/>
                <w:numId w:val="3"/>
              </w:numPr>
              <w:ind w:left="371" w:right="142" w:hanging="284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Memória de cálculo, observado o limite de 25% do valor inicial atualizado do contrato, no caso de supressão nos serviços ou compras.</w:t>
            </w:r>
            <w:r w:rsidRPr="00A512B1">
              <w:rPr>
                <w:rStyle w:val="FootnoteAnchor"/>
                <w:rFonts w:ascii="Arial" w:hAnsi="Arial"/>
                <w:b/>
                <w:sz w:val="16"/>
                <w:szCs w:val="16"/>
              </w:rPr>
              <w:footnoteReference w:id="3"/>
            </w:r>
            <w:r w:rsidRPr="00A512B1">
              <w:rPr>
                <w:rStyle w:val="FootnoteAnchor"/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F11A5" w14:textId="048A5BE0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art. 65, § 2º, inciso II da Lei nº 8.666/93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4D1CB" w14:textId="0823AC4F" w:rsidR="003C3F2F" w:rsidRPr="00A512B1" w:rsidRDefault="003C3F2F" w:rsidP="00FA7BE4">
            <w:pPr>
              <w:pStyle w:val="PargrafodaLista"/>
              <w:numPr>
                <w:ilvl w:val="0"/>
                <w:numId w:val="26"/>
              </w:numPr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Ordenador</w:t>
            </w:r>
            <w:r w:rsidR="00FA7BE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, </w:t>
            </w:r>
            <w:r w:rsidRPr="00A512B1">
              <w:rPr>
                <w:rFonts w:ascii="Arial" w:eastAsia="Times New Roman" w:hAnsi="Arial"/>
                <w:sz w:val="16"/>
                <w:szCs w:val="16"/>
                <w:lang w:eastAsia="pt-BR"/>
              </w:rPr>
              <w:t>Setor de Orçamento.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10CF9" w14:textId="53E8A99A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com justificativa/estudo orçamentário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B7717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5D89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0CD392FE" w14:textId="77777777" w:rsidTr="00B12E39">
        <w:trPr>
          <w:trHeight w:val="261"/>
        </w:trPr>
        <w:tc>
          <w:tcPr>
            <w:tcW w:w="10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A5845B" w14:textId="70FDDF35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0"/>
              </w:numPr>
              <w:spacing w:after="0" w:line="240" w:lineRule="auto"/>
              <w:ind w:left="357" w:right="142" w:hanging="3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512B1">
              <w:rPr>
                <w:rFonts w:ascii="Arial" w:hAnsi="Arial" w:cs="Arial"/>
                <w:b/>
                <w:sz w:val="16"/>
                <w:szCs w:val="16"/>
              </w:rPr>
              <w:t xml:space="preserve">Aditivo de Prorrogação de Prazo </w:t>
            </w:r>
          </w:p>
        </w:tc>
      </w:tr>
      <w:tr w:rsidR="003C3F2F" w:rsidRPr="00B74295" w14:paraId="1DC49E13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583EF" w14:textId="78457E8A" w:rsidR="003C3F2F" w:rsidRPr="00A512B1" w:rsidRDefault="003C3F2F" w:rsidP="009447A9">
            <w:pPr>
              <w:widowControl w:val="0"/>
              <w:numPr>
                <w:ilvl w:val="0"/>
                <w:numId w:val="23"/>
              </w:numPr>
              <w:ind w:left="386" w:right="142" w:hanging="294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Comprovação da vantajosidade da prorrogação.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318AE" w14:textId="07245E4B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Incisos do art. 57 da Lei nº 8.666/93 e Enunciado CPGE nº 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68F2D" w14:textId="5EAB7E96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gestor/fiscal de contrato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F5B2A" w14:textId="1FBF503D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com justificativa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90C02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99F1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6544FA5E" w14:textId="77777777" w:rsidTr="00B12E39">
        <w:trPr>
          <w:trHeight w:val="273"/>
        </w:trPr>
        <w:tc>
          <w:tcPr>
            <w:tcW w:w="10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AB2F5D" w14:textId="27D9B00A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0"/>
              </w:numPr>
              <w:spacing w:after="0" w:line="240" w:lineRule="auto"/>
              <w:ind w:left="357" w:right="142" w:hanging="3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512B1">
              <w:rPr>
                <w:rFonts w:ascii="Arial" w:hAnsi="Arial" w:cs="Arial"/>
                <w:b/>
                <w:sz w:val="16"/>
                <w:szCs w:val="16"/>
              </w:rPr>
              <w:t xml:space="preserve"> Revisão</w:t>
            </w:r>
          </w:p>
        </w:tc>
      </w:tr>
      <w:tr w:rsidR="003C3F2F" w:rsidRPr="00B74295" w14:paraId="48D28CAA" w14:textId="77777777" w:rsidTr="0044179A">
        <w:trPr>
          <w:trHeight w:val="414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87A75" w14:textId="71A51293" w:rsidR="003C3F2F" w:rsidRPr="00A512B1" w:rsidRDefault="003C3F2F" w:rsidP="009447A9">
            <w:pPr>
              <w:widowControl w:val="0"/>
              <w:numPr>
                <w:ilvl w:val="0"/>
                <w:numId w:val="24"/>
              </w:numPr>
              <w:ind w:left="386" w:right="142" w:hanging="28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Solicitação da Contratada ou requisição da Administração (quando de ofício) com a indicação da variação excepcional nos custos e sua causa, por escrito, com pedido justificado de revisão do preço praticado, bem como: a abertura de todos os preços do contrato constantes na planilha de custos; apresentação de notas fiscais; pesquisa de mercado que comprove elevação dos custos; assim como outros documentos comprobatórios que couberem.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E9745" w14:textId="48A03224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art. 35, caput, Portaria SEGER / PGE / SECONT Nº 049-R/2010),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E17D1" w14:textId="74243C7F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gestor/fiscal de contrato, Setor de Orçamento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4A064" w14:textId="0975FF18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com justificativa/estudo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9F2B8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673D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763DB91F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BA57E" w14:textId="675E743C" w:rsidR="003C3F2F" w:rsidRPr="00A512B1" w:rsidRDefault="003C3F2F" w:rsidP="009447A9">
            <w:pPr>
              <w:widowControl w:val="0"/>
              <w:numPr>
                <w:ilvl w:val="0"/>
                <w:numId w:val="24"/>
              </w:numPr>
              <w:ind w:left="386" w:right="142" w:hanging="28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lastRenderedPageBreak/>
              <w:t>Análise técnica do Gestor/Fiscal/Comissão Gestora.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8B1EE" w14:textId="7CDF3071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Norma de Procedimento SCL nº 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EEB87" w14:textId="3DDEA7AC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/>
                <w:sz w:val="16"/>
                <w:szCs w:val="16"/>
                <w:lang w:eastAsia="pt-BR"/>
              </w:rPr>
              <w:t>A ser indicado pela entidade, ex.: gestor/fiscal de contrato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E5B75" w14:textId="0EC7E169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760EF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E966E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02B48F08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04A10" w14:textId="57FF0691" w:rsidR="003C3F2F" w:rsidRPr="00A512B1" w:rsidRDefault="003C3F2F" w:rsidP="009447A9">
            <w:pPr>
              <w:widowControl w:val="0"/>
              <w:numPr>
                <w:ilvl w:val="0"/>
                <w:numId w:val="24"/>
              </w:numPr>
              <w:ind w:left="386" w:right="142" w:hanging="28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Manifestação do Ordenador de Despesas sobre a proposta de revisão.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2553" w14:textId="0F973DD4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Norma de Procedimento SCL nº 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2AF01" w14:textId="2D31C594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Ordenador/ Autoridade Competente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088A3" w14:textId="251F3AA2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de aprovação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6B5CC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321E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0DAA70EE" w14:textId="77777777" w:rsidTr="003A5934">
        <w:tc>
          <w:tcPr>
            <w:tcW w:w="10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739C0E8" w14:textId="32792F6B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0"/>
              </w:numPr>
              <w:spacing w:after="0" w:line="240" w:lineRule="auto"/>
              <w:ind w:left="357" w:right="142" w:hanging="3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512B1">
              <w:rPr>
                <w:rFonts w:ascii="Arial" w:hAnsi="Arial" w:cs="Arial"/>
                <w:b/>
                <w:sz w:val="16"/>
                <w:szCs w:val="16"/>
              </w:rPr>
              <w:t>Repactuação</w:t>
            </w:r>
          </w:p>
        </w:tc>
      </w:tr>
      <w:tr w:rsidR="003C3F2F" w:rsidRPr="00B74295" w14:paraId="5FAC58B8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7C299" w14:textId="2E17F84D" w:rsidR="003C3F2F" w:rsidRPr="00A512B1" w:rsidRDefault="003C3F2F" w:rsidP="009447A9">
            <w:pPr>
              <w:widowControl w:val="0"/>
              <w:numPr>
                <w:ilvl w:val="0"/>
                <w:numId w:val="12"/>
              </w:numPr>
              <w:ind w:right="142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Requerimento formal da contratada, instruído com a comprovação da variação efetiva dos custos de mão de obra e sua demonstração analítica, por meio da apresentação da planilha de custos e formação de preços e do novo Acordo, Convenção ou Dissídio Coletivo de Trabalho que fundamenta a repactuação.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14671" w14:textId="64552379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art. 34, caput, Portaria SEGER / PGE / SECONT Nº 049-R/2010), SCL nº 013, art. 65, II, “d” da Lei nº 8.666/93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8353E" w14:textId="697598E7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gestor/fiscal do contrato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F5D59" w14:textId="3A192940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Oficio ou e-mail de solicitação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CE04C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58998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2634FEDD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2336A" w14:textId="313EC262" w:rsidR="003C3F2F" w:rsidRPr="00A512B1" w:rsidRDefault="003C3F2F" w:rsidP="009447A9">
            <w:pPr>
              <w:widowControl w:val="0"/>
              <w:numPr>
                <w:ilvl w:val="0"/>
                <w:numId w:val="12"/>
              </w:numPr>
              <w:ind w:right="142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Análise técnica do Gestor/Fiscal/Comissão Gestora da nova   planilha de custos e formação de preços, atestando a sua adequação ao previsto no novo Acordo, Convenção ou Dissídio Coletivo de Trabalho.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B4094" w14:textId="536ABD72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/>
                <w:sz w:val="16"/>
                <w:szCs w:val="16"/>
              </w:rPr>
              <w:t xml:space="preserve">art. 34, caput, Portaria SEGER / PGE / SECONT Nº 049-R/2010), SCL nº 013, arts. 40, XI, e 55, III, da Lei </w:t>
            </w:r>
            <w:r w:rsidRPr="00A512B1">
              <w:rPr>
                <w:rFonts w:ascii="Arial" w:hAnsi="Arial"/>
                <w:sz w:val="16"/>
                <w:szCs w:val="16"/>
              </w:rPr>
              <w:t>nº</w:t>
            </w:r>
            <w:r w:rsidRPr="00A512B1">
              <w:rPr>
                <w:rFonts w:ascii="Arial" w:eastAsia="Times New Roman" w:hAnsi="Arial"/>
                <w:sz w:val="16"/>
                <w:szCs w:val="16"/>
              </w:rPr>
              <w:t xml:space="preserve"> 8.666/93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923CA" w14:textId="5F77C376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Ordenador/ Autoridade Competente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ED4CC" w14:textId="72505244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67CD7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F8B4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1E9FDB67" w14:textId="335EDE52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52B6D" w14:textId="1E278194" w:rsidR="003C3F2F" w:rsidRPr="00A512B1" w:rsidRDefault="003C3F2F" w:rsidP="009447A9">
            <w:pPr>
              <w:widowControl w:val="0"/>
              <w:numPr>
                <w:ilvl w:val="0"/>
                <w:numId w:val="12"/>
              </w:numPr>
              <w:ind w:right="142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Manifestação do Ordenador de Despesas sobre a proposta de repactuação.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CD7474" w14:textId="0E85AF84" w:rsidR="003C3F2F" w:rsidRPr="00A512B1" w:rsidRDefault="003C3F2F" w:rsidP="009447A9">
            <w:pPr>
              <w:widowControl w:val="0"/>
              <w:ind w:right="142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Norma de Procedimento SCL nº 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64794A" w14:textId="10927524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Ordenador/ Autoridade Competente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5A1C9" w14:textId="0E70E8A0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de aprovação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AB93BB" w14:textId="77777777" w:rsidR="003C3F2F" w:rsidRPr="00A512B1" w:rsidRDefault="003C3F2F" w:rsidP="009447A9">
            <w:pPr>
              <w:widowControl w:val="0"/>
              <w:ind w:left="360" w:right="142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B878" w14:textId="77777777" w:rsidR="003C3F2F" w:rsidRPr="00A512B1" w:rsidRDefault="003C3F2F" w:rsidP="009447A9">
            <w:pPr>
              <w:widowControl w:val="0"/>
              <w:ind w:left="360" w:right="142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C3F2F" w:rsidRPr="00B74295" w14:paraId="139C49CC" w14:textId="77777777" w:rsidTr="003A5934">
        <w:tc>
          <w:tcPr>
            <w:tcW w:w="10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654F33" w14:textId="01082A2B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0"/>
              </w:numPr>
              <w:spacing w:after="0" w:line="240" w:lineRule="auto"/>
              <w:ind w:left="357" w:right="142" w:hanging="3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512B1">
              <w:rPr>
                <w:rFonts w:ascii="Arial" w:hAnsi="Arial" w:cs="Arial"/>
                <w:b/>
                <w:sz w:val="16"/>
                <w:szCs w:val="16"/>
              </w:rPr>
              <w:t>Demais Casos</w:t>
            </w:r>
          </w:p>
        </w:tc>
      </w:tr>
      <w:tr w:rsidR="003C3F2F" w:rsidRPr="00B74295" w14:paraId="1F11D20D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AA164" w14:textId="7490CD27" w:rsidR="003C3F2F" w:rsidRPr="00A512B1" w:rsidRDefault="003C3F2F" w:rsidP="009447A9">
            <w:pPr>
              <w:widowControl w:val="0"/>
              <w:numPr>
                <w:ilvl w:val="0"/>
                <w:numId w:val="25"/>
              </w:numPr>
              <w:ind w:right="142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Documentação que comprove a ocorrência dos fatos que ensejaram o aditivo de alteração contratual.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E2889" w14:textId="480B5891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art. 65 da Lei nº 8.666/93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D3E1" w14:textId="5DA48F70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gestor/fiscal do contrato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E3CD9" w14:textId="1C990796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Oficio ou e-mail de solicitação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13011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D0D9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AA6EFA" w14:paraId="35DFDC17" w14:textId="77777777" w:rsidTr="00B12E39">
        <w:trPr>
          <w:trHeight w:val="321"/>
        </w:trPr>
        <w:tc>
          <w:tcPr>
            <w:tcW w:w="10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6C6809" w14:textId="79040E0F" w:rsidR="003C3F2F" w:rsidRPr="00A512B1" w:rsidRDefault="003C3F2F" w:rsidP="009447A9">
            <w:pPr>
              <w:widowControl w:val="0"/>
              <w:snapToGrid w:val="0"/>
              <w:rPr>
                <w:rFonts w:ascii="Arial" w:hAnsi="Arial"/>
                <w:b/>
                <w:sz w:val="16"/>
                <w:szCs w:val="16"/>
              </w:rPr>
            </w:pPr>
            <w:r w:rsidRPr="00A512B1">
              <w:rPr>
                <w:rFonts w:ascii="Arial" w:hAnsi="Arial"/>
                <w:b/>
                <w:sz w:val="16"/>
                <w:szCs w:val="16"/>
              </w:rPr>
              <w:t>3. Demais documentos (todos os tipos de aditivo)</w:t>
            </w:r>
          </w:p>
        </w:tc>
      </w:tr>
      <w:tr w:rsidR="003C3F2F" w:rsidRPr="00B74295" w14:paraId="7C225887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B7D8" w14:textId="25A350E9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1"/>
              </w:numPr>
              <w:spacing w:after="0" w:line="240" w:lineRule="auto"/>
              <w:ind w:right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512B1">
              <w:rPr>
                <w:rFonts w:ascii="Arial" w:eastAsia="Arial" w:hAnsi="Arial" w:cs="Arial"/>
                <w:sz w:val="16"/>
                <w:szCs w:val="16"/>
              </w:rPr>
              <w:t>Nota de reserva orçamentária para a despesa a ser executada no exercício em que ocorrer a prorrogação, quando couber</w:t>
            </w:r>
            <w:r w:rsidRPr="00A512B1">
              <w:rPr>
                <w:rStyle w:val="Refdenotaderodap"/>
                <w:rFonts w:ascii="Arial" w:eastAsia="Arial" w:hAnsi="Arial" w:cs="Arial"/>
                <w:b/>
                <w:bCs/>
                <w:sz w:val="16"/>
                <w:szCs w:val="16"/>
              </w:rPr>
              <w:footnoteReference w:id="4"/>
            </w:r>
            <w:r w:rsidRPr="00A512B1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2C49E" w14:textId="53ABAB0B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Norma de Procedimento SCL nº 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DB180" w14:textId="0D1F9FB8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de Orçamento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F35A5" w14:textId="35C4C794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reserva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9D2FC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D16E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098796B9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17D4" w14:textId="27404C1D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1"/>
              </w:numPr>
              <w:spacing w:after="0" w:line="240" w:lineRule="auto"/>
              <w:ind w:righ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12B1">
              <w:rPr>
                <w:rFonts w:ascii="Arial" w:eastAsia="Arial" w:hAnsi="Arial" w:cs="Arial"/>
                <w:sz w:val="16"/>
                <w:szCs w:val="16"/>
              </w:rPr>
              <w:t>Detalhamento da Dotação – DD e/ou declaração orçamentária, quando se tratar de recursos relativos ao exercício seguinte, quando couber</w:t>
            </w:r>
            <w:r w:rsidRPr="00A512B1">
              <w:rPr>
                <w:rStyle w:val="Refdenotaderodap"/>
                <w:rFonts w:ascii="Arial" w:eastAsia="Arial" w:hAnsi="Arial" w:cs="Arial"/>
                <w:b/>
                <w:bCs/>
                <w:sz w:val="16"/>
                <w:szCs w:val="16"/>
              </w:rPr>
              <w:footnoteReference w:id="5"/>
            </w:r>
            <w:r w:rsidRPr="00A512B1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EE10F" w14:textId="77777777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 xml:space="preserve">art. 58 da Lei Federal nº 4.320/64; e Decreto Orçamentário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CA309" w14:textId="113F1C21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de Orçamento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77F04" w14:textId="59295A8C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de detalhamento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081C3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F05B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15C95AF8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CA98" w14:textId="50EAA013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1"/>
              </w:numPr>
              <w:spacing w:after="0" w:line="240" w:lineRule="auto"/>
              <w:ind w:right="142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val="it-IT" w:eastAsia="pt-BR"/>
              </w:rPr>
              <w:t>Declaração de que a despesa se encontra adequada com a Lei Orçamentária Anual e compatível com a Lei de Diretrizes Orçamentárias e ainda com o Plano Plurianual, quando couber</w:t>
            </w:r>
            <w:r w:rsidRPr="00A512B1">
              <w:rPr>
                <w:rStyle w:val="Refdenotaderodap"/>
                <w:rFonts w:ascii="Arial" w:eastAsia="Times New Roman" w:hAnsi="Arial" w:cs="Arial"/>
                <w:b/>
                <w:bCs/>
                <w:sz w:val="16"/>
                <w:szCs w:val="16"/>
                <w:lang w:val="it-IT" w:eastAsia="pt-BR"/>
              </w:rPr>
              <w:footnoteReference w:id="6"/>
            </w:r>
            <w:r w:rsidRPr="00A512B1">
              <w:rPr>
                <w:rFonts w:ascii="Arial" w:eastAsia="Times New Roman" w:hAnsi="Arial" w:cs="Arial"/>
                <w:sz w:val="16"/>
                <w:szCs w:val="16"/>
                <w:lang w:val="it-IT" w:eastAsia="pt-BR"/>
              </w:rPr>
              <w:t>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A320A" w14:textId="61353FD1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Lei Complementar nº 101, art. 16,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E7730" w14:textId="3D26E000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Ordenador/ Autoridade Competente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F1FD6" w14:textId="22838846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Declaração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545CF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F3B5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2CD64CC5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EF546" w14:textId="4173ECEF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1"/>
              </w:numPr>
              <w:spacing w:after="0" w:line="240" w:lineRule="auto"/>
              <w:ind w:right="142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12B1">
              <w:rPr>
                <w:rFonts w:ascii="Arial" w:eastAsia="Arial" w:hAnsi="Arial" w:cs="Arial"/>
                <w:sz w:val="16"/>
                <w:szCs w:val="16"/>
              </w:rPr>
              <w:t>Comprovação da regularidade jurídica, fiscal e trabalhista.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4308E" w14:textId="706EF537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Resolução CPGE nº 246/2011, Enunciado CPGE Nº 08, bem como a trabalhista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7A549" w14:textId="176C3AD1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CPL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C9200" w14:textId="2B0FAFFC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Certidões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9D17C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5777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5B204409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70106" w14:textId="7D4E5731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1"/>
              </w:numPr>
              <w:spacing w:after="0" w:line="240" w:lineRule="auto"/>
              <w:ind w:right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512B1">
              <w:rPr>
                <w:rFonts w:ascii="Arial" w:eastAsia="Arial" w:hAnsi="Arial" w:cs="Arial"/>
                <w:sz w:val="16"/>
                <w:szCs w:val="16"/>
              </w:rPr>
              <w:t>Minuta do Termo Aditivo.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F28B6" w14:textId="4321F6FC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Norma de Procedimento SCL nº 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98651" w14:textId="147E1244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de Contratos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28DBE" w14:textId="05242054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contratual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49455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4057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38837EF6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8D0FE" w14:textId="0FDEA27B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1"/>
              </w:numPr>
              <w:spacing w:after="0" w:line="240" w:lineRule="auto"/>
              <w:ind w:right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Certificado atestando a adoção de minuta de Termo de Aditivo padronizado, quando couber.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6608F" w14:textId="1681960A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/>
                <w:sz w:val="16"/>
                <w:szCs w:val="16"/>
                <w:lang w:eastAsia="pt-BR"/>
              </w:rPr>
              <w:t>Enunciado CPGE nº 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3484F" w14:textId="438F676F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CPL/ASSESSORIA JURÍDICA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9CA01" w14:textId="55F8ECEA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750E5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346F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52E76062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3FD24" w14:textId="6C1D6803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1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Atestado de cumprimento dos requisitos do Enunciado da PGE correspondente, quando couber.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2A77" w14:textId="75736830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/>
                <w:sz w:val="16"/>
                <w:szCs w:val="16"/>
                <w:lang w:eastAsia="pt-BR"/>
              </w:rPr>
              <w:t>Enunciado CPGE nº 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EFA6" w14:textId="48EFCA26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/>
                <w:sz w:val="16"/>
                <w:szCs w:val="16"/>
                <w:lang w:eastAsia="pt-BR"/>
              </w:rPr>
              <w:t>A ser indicado pela entidade, ex.: CPL/ASSESSORIA JURÍDICA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673AB" w14:textId="49A5A1E7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04216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0D19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55BFFF6B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D7CFB" w14:textId="7FDB3B10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1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512B1">
              <w:rPr>
                <w:rFonts w:ascii="Arial" w:hAnsi="Arial" w:cs="Arial"/>
                <w:sz w:val="16"/>
                <w:szCs w:val="16"/>
              </w:rPr>
              <w:t>Manifestação com a devida aprovação do Ordenador de Despesas sobre a proposta de alteração.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058B1" w14:textId="2ABE84E8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Norma de Procedimento SCL nº 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737EC" w14:textId="6F7FF805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Ordenador/ Autoridade Competente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9265C" w14:textId="7240ED09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de aprovação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17828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B5D1D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3C3F2F" w:rsidRPr="00B74295" w14:paraId="4E067EDB" w14:textId="77777777" w:rsidTr="0044179A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6B169" w14:textId="685D2270" w:rsidR="003C3F2F" w:rsidRPr="00A512B1" w:rsidRDefault="003C3F2F" w:rsidP="009447A9">
            <w:pPr>
              <w:pStyle w:val="PargrafodaLista"/>
              <w:widowControl w:val="0"/>
              <w:numPr>
                <w:ilvl w:val="1"/>
                <w:numId w:val="21"/>
              </w:numPr>
              <w:spacing w:after="0" w:line="240" w:lineRule="auto"/>
              <w:ind w:right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da Procuradoria Geral do Estado - PGE quanto aos aspectos jurídicos para celebração do aditivo, quando couber.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C252" w14:textId="1C00429A" w:rsidR="003C3F2F" w:rsidRPr="00A512B1" w:rsidRDefault="003C3F2F" w:rsidP="009447A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 w:rsidRPr="00A512B1">
              <w:rPr>
                <w:rFonts w:ascii="Arial" w:hAnsi="Arial"/>
                <w:sz w:val="16"/>
                <w:szCs w:val="16"/>
              </w:rPr>
              <w:t>Resolução CPGE nº. 246/2011, Enunciado CPGE Nº 08 e Resolução CPGE nº. 320/2021, Enunciado CPGE n.º 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B679A" w14:textId="1B5ACAD5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tabs>
                <w:tab w:val="num" w:pos="720"/>
              </w:tabs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PGE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27867" w14:textId="3FD27578" w:rsidR="003C3F2F" w:rsidRPr="00A512B1" w:rsidRDefault="003C3F2F" w:rsidP="009447A9">
            <w:pPr>
              <w:pStyle w:val="PargrafodaLista"/>
              <w:numPr>
                <w:ilvl w:val="0"/>
                <w:numId w:val="26"/>
              </w:numPr>
              <w:suppressAutoHyphens w:val="0"/>
              <w:spacing w:after="0" w:line="240" w:lineRule="auto"/>
              <w:ind w:left="73" w:hanging="113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A512B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do jurídico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1F230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5157F" w14:textId="77777777" w:rsidR="003C3F2F" w:rsidRPr="00A512B1" w:rsidRDefault="003C3F2F" w:rsidP="009447A9">
            <w:pPr>
              <w:widowControl w:val="0"/>
              <w:snapToGrid w:val="0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</w:tbl>
    <w:p w14:paraId="46C9024E" w14:textId="00303107" w:rsidR="00954F3E" w:rsidRPr="00B74295" w:rsidRDefault="00954F3E" w:rsidP="009447A9">
      <w:pPr>
        <w:rPr>
          <w:rFonts w:ascii="Arial" w:hAnsi="Arial"/>
          <w:sz w:val="16"/>
          <w:szCs w:val="16"/>
        </w:rPr>
      </w:pPr>
    </w:p>
    <w:p w14:paraId="7D4325E7" w14:textId="1FE9697F" w:rsidR="00633CED" w:rsidRPr="00B74295" w:rsidRDefault="00633CED" w:rsidP="00B74295">
      <w:pPr>
        <w:rPr>
          <w:rFonts w:ascii="Arial" w:hAnsi="Arial"/>
          <w:sz w:val="16"/>
          <w:szCs w:val="16"/>
        </w:rPr>
      </w:pPr>
      <w:r w:rsidRPr="00B74295">
        <w:rPr>
          <w:rFonts w:ascii="Arial" w:hAnsi="Arial"/>
          <w:sz w:val="16"/>
          <w:szCs w:val="16"/>
        </w:rPr>
        <w:t>Atenção! Caso o campo não se aplique ao Tipo de Aditivo que será realizado, informe N/A no campo para sua identificação.</w:t>
      </w:r>
    </w:p>
    <w:sectPr w:rsidR="00633CED" w:rsidRPr="00B74295" w:rsidSect="00DA6319">
      <w:headerReference w:type="default" r:id="rId8"/>
      <w:pgSz w:w="11906" w:h="16838"/>
      <w:pgMar w:top="1134" w:right="1133" w:bottom="142" w:left="566" w:header="285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54824" w14:textId="77777777" w:rsidR="00EC2DE7" w:rsidRDefault="00EC2DE7">
      <w:r>
        <w:separator/>
      </w:r>
    </w:p>
  </w:endnote>
  <w:endnote w:type="continuationSeparator" w:id="0">
    <w:p w14:paraId="38F749DA" w14:textId="77777777" w:rsidR="00EC2DE7" w:rsidRDefault="00EC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0DBA4" w14:textId="77777777" w:rsidR="00EC2DE7" w:rsidRDefault="00EC2DE7">
      <w:pPr>
        <w:rPr>
          <w:sz w:val="12"/>
        </w:rPr>
      </w:pPr>
      <w:r>
        <w:separator/>
      </w:r>
    </w:p>
  </w:footnote>
  <w:footnote w:type="continuationSeparator" w:id="0">
    <w:p w14:paraId="120436D7" w14:textId="77777777" w:rsidR="00EC2DE7" w:rsidRDefault="00EC2DE7">
      <w:pPr>
        <w:rPr>
          <w:sz w:val="12"/>
        </w:rPr>
      </w:pPr>
      <w:r>
        <w:continuationSeparator/>
      </w:r>
    </w:p>
  </w:footnote>
  <w:footnote w:id="1">
    <w:p w14:paraId="5F75FFDE" w14:textId="77777777" w:rsidR="003C3F2F" w:rsidRPr="00C951F5" w:rsidRDefault="003C3F2F" w:rsidP="00B74295">
      <w:pPr>
        <w:pStyle w:val="footnotedescription"/>
        <w:widowControl w:val="0"/>
        <w:spacing w:line="276" w:lineRule="auto"/>
        <w:ind w:left="284" w:right="43" w:hanging="69"/>
        <w:rPr>
          <w:sz w:val="14"/>
          <w:szCs w:val="14"/>
        </w:rPr>
      </w:pPr>
      <w:r w:rsidRPr="008A3B30">
        <w:rPr>
          <w:rStyle w:val="FootnoteCharacters"/>
          <w:b/>
          <w:bCs/>
        </w:rPr>
        <w:footnoteRef/>
      </w:r>
      <w:r w:rsidRPr="00C951F5">
        <w:rPr>
          <w:szCs w:val="16"/>
        </w:rPr>
        <w:tab/>
      </w:r>
      <w:r w:rsidRPr="00C951F5">
        <w:rPr>
          <w:sz w:val="14"/>
          <w:szCs w:val="14"/>
        </w:rPr>
        <w:t xml:space="preserve">Conforme disposto no § 1º do art. 65 da Lei Federal nº 8.666/1993 o contratado fica obrigado a aceitar, nas mesmas condições contratuais, os acréscimos ou supressões que se fizerem nas obras, serviços ou compras, até 25% (vinte e cinco por cento) do valor inicial atualizado do contrato, e, no caso particular de reforma de edifício ou de equipamento, até o limite de 50% (cinquenta por cento) para os seus acréscimos. Nenhum acréscimo ou supressão poderá exceder os limites estabelecidos, salvo a supressão resultante de acordo celebrado entre as partes. </w:t>
      </w:r>
    </w:p>
    <w:p w14:paraId="4CE5C4EF" w14:textId="77777777" w:rsidR="003C3F2F" w:rsidRPr="00C951F5" w:rsidRDefault="003C3F2F" w:rsidP="00B74295">
      <w:pPr>
        <w:pStyle w:val="footnotedescription"/>
        <w:widowControl w:val="0"/>
        <w:spacing w:line="276" w:lineRule="auto"/>
        <w:ind w:left="284" w:firstLine="0"/>
        <w:rPr>
          <w:sz w:val="14"/>
          <w:szCs w:val="20"/>
        </w:rPr>
      </w:pPr>
      <w:r w:rsidRPr="00C951F5">
        <w:rPr>
          <w:sz w:val="14"/>
          <w:szCs w:val="14"/>
        </w:rPr>
        <w:t>Em havendo alteração unilateral do contrato que aumente os encargos do contratado, a Administração deverá restabelecer, por aditamento, o equilíbrio econômico-financeiro inicial.</w:t>
      </w:r>
      <w:r w:rsidRPr="00C951F5">
        <w:rPr>
          <w:sz w:val="14"/>
          <w:szCs w:val="20"/>
        </w:rPr>
        <w:t xml:space="preserve"> </w:t>
      </w:r>
    </w:p>
  </w:footnote>
  <w:footnote w:id="2">
    <w:p w14:paraId="68509FE3" w14:textId="12640D5D" w:rsidR="003C3F2F" w:rsidRPr="00E50FBA" w:rsidRDefault="003C3F2F" w:rsidP="00B74295">
      <w:pPr>
        <w:pStyle w:val="footnotedescription"/>
        <w:widowControl w:val="0"/>
        <w:spacing w:line="276" w:lineRule="auto"/>
        <w:ind w:left="284" w:right="43" w:hanging="69"/>
        <w:rPr>
          <w:rStyle w:val="FootnoteCharacters"/>
        </w:rPr>
      </w:pPr>
      <w:r w:rsidRPr="008A3B30">
        <w:rPr>
          <w:rStyle w:val="FootnoteCharacters"/>
          <w:b/>
          <w:bCs/>
          <w:sz w:val="14"/>
          <w:szCs w:val="14"/>
        </w:rPr>
        <w:footnoteRef/>
      </w:r>
      <w:r w:rsidRPr="00C951F5">
        <w:rPr>
          <w:b/>
          <w:sz w:val="14"/>
          <w:szCs w:val="14"/>
        </w:rPr>
        <w:tab/>
      </w:r>
      <w:r w:rsidRPr="00E50FBA">
        <w:rPr>
          <w:sz w:val="14"/>
          <w:szCs w:val="14"/>
        </w:rPr>
        <w:t>A variação do valor contratual para fazer face ao reajuste de preços previsto no próprio contrato, as atualizações, compensações ou penalizações financeiras decorrentes das condições de pagamento nele previstas, bem como o empenho de dotações orçamentárias suplementares até o limite do seu valor corrigido não caracterizam alteração do Contrato, podendo ser registrados por simples apostila, dispensando a celebração de aditamento, conforme disposto no art. 65, § 8º da Lei Federal nº 8.666/1993</w:t>
      </w:r>
      <w:r>
        <w:rPr>
          <w:sz w:val="14"/>
          <w:szCs w:val="14"/>
        </w:rPr>
        <w:t>.</w:t>
      </w:r>
    </w:p>
  </w:footnote>
  <w:footnote w:id="3">
    <w:p w14:paraId="7812C737" w14:textId="23615CA3" w:rsidR="003C3F2F" w:rsidRPr="00C951F5" w:rsidRDefault="003C3F2F" w:rsidP="00B74295">
      <w:pPr>
        <w:pStyle w:val="footnotedescription"/>
        <w:widowControl w:val="0"/>
        <w:spacing w:line="276" w:lineRule="auto"/>
        <w:ind w:left="284" w:right="43" w:hanging="69"/>
        <w:rPr>
          <w:sz w:val="14"/>
          <w:szCs w:val="14"/>
        </w:rPr>
      </w:pPr>
      <w:r w:rsidRPr="008A3B30">
        <w:rPr>
          <w:rStyle w:val="FootnoteCharacters"/>
          <w:b/>
          <w:bCs/>
        </w:rPr>
        <w:footnoteRef/>
      </w:r>
      <w:r w:rsidRPr="00E50FBA">
        <w:rPr>
          <w:rStyle w:val="FootnoteCharacters"/>
        </w:rPr>
        <w:tab/>
      </w:r>
      <w:r w:rsidRPr="00E50FBA">
        <w:rPr>
          <w:sz w:val="14"/>
          <w:szCs w:val="14"/>
        </w:rPr>
        <w:t>Nenhum acréscimo ou supressão poderá exceder os limites estabelecidos no § 1º do art. 65 da Lei Federal nº 8666/1993, salvo as supressões resultantes de acordos celebrados entre os contratantes, conforme disposto no inciso II do § 2º do art. 65 da referida Lei</w:t>
      </w:r>
      <w:r>
        <w:rPr>
          <w:sz w:val="14"/>
          <w:szCs w:val="14"/>
        </w:rPr>
        <w:t>.</w:t>
      </w:r>
    </w:p>
  </w:footnote>
  <w:footnote w:id="4">
    <w:p w14:paraId="28671104" w14:textId="783A0DC2" w:rsidR="003C3F2F" w:rsidRPr="001D0E03" w:rsidRDefault="003C3F2F" w:rsidP="00E91630">
      <w:pPr>
        <w:pStyle w:val="Textodenotaderodap"/>
        <w:spacing w:line="276" w:lineRule="auto"/>
        <w:rPr>
          <w:rFonts w:ascii="Arial" w:hAnsi="Arial"/>
          <w:sz w:val="14"/>
          <w:szCs w:val="14"/>
        </w:rPr>
      </w:pPr>
      <w:r w:rsidRPr="008A3B30">
        <w:rPr>
          <w:rStyle w:val="Refdenotaderodap"/>
          <w:rFonts w:ascii="Arial" w:hAnsi="Arial"/>
          <w:b/>
          <w:bCs/>
          <w:sz w:val="14"/>
          <w:szCs w:val="14"/>
        </w:rPr>
        <w:footnoteRef/>
      </w:r>
      <w:r w:rsidRPr="001D0E03">
        <w:rPr>
          <w:rFonts w:ascii="Arial" w:hAnsi="Arial"/>
          <w:sz w:val="14"/>
          <w:szCs w:val="14"/>
        </w:rPr>
        <w:t xml:space="preserve"> Alguns tipos de alteração contratual não envolvem acréscimo de recursos financeiros.</w:t>
      </w:r>
    </w:p>
  </w:footnote>
  <w:footnote w:id="5">
    <w:p w14:paraId="23D6D261" w14:textId="77777777" w:rsidR="003C3F2F" w:rsidRPr="00C33FEA" w:rsidRDefault="003C3F2F" w:rsidP="00E91630">
      <w:pPr>
        <w:pStyle w:val="Textodenotaderodap"/>
        <w:spacing w:line="276" w:lineRule="auto"/>
        <w:rPr>
          <w:color w:val="538135" w:themeColor="accent6" w:themeShade="BF"/>
        </w:rPr>
      </w:pPr>
      <w:r w:rsidRPr="008A3B30">
        <w:rPr>
          <w:rStyle w:val="Refdenotaderodap"/>
          <w:rFonts w:ascii="Arial" w:hAnsi="Arial"/>
          <w:b/>
          <w:bCs/>
          <w:sz w:val="14"/>
          <w:szCs w:val="14"/>
        </w:rPr>
        <w:footnoteRef/>
      </w:r>
      <w:r w:rsidRPr="001D0E03">
        <w:rPr>
          <w:rFonts w:ascii="Arial" w:hAnsi="Arial"/>
          <w:sz w:val="14"/>
          <w:szCs w:val="14"/>
        </w:rPr>
        <w:t xml:space="preserve"> Alguns tipos de alteração contratual não envolvem acréscimo de recursos financeiros.</w:t>
      </w:r>
    </w:p>
  </w:footnote>
  <w:footnote w:id="6">
    <w:p w14:paraId="78A95383" w14:textId="0D8069B5" w:rsidR="003C3F2F" w:rsidRPr="001D0E03" w:rsidRDefault="003C3F2F" w:rsidP="00E91630">
      <w:pPr>
        <w:pStyle w:val="Textodenotaderodap"/>
        <w:spacing w:line="276" w:lineRule="auto"/>
        <w:rPr>
          <w:rFonts w:ascii="Arial" w:hAnsi="Arial"/>
          <w:color w:val="538135" w:themeColor="accent6" w:themeShade="BF"/>
          <w:sz w:val="14"/>
          <w:szCs w:val="14"/>
        </w:rPr>
      </w:pPr>
      <w:r w:rsidRPr="008A3B30">
        <w:rPr>
          <w:rStyle w:val="Refdenotaderodap"/>
          <w:rFonts w:ascii="Arial" w:hAnsi="Arial"/>
          <w:b/>
          <w:bCs/>
          <w:sz w:val="14"/>
          <w:szCs w:val="14"/>
        </w:rPr>
        <w:footnoteRef/>
      </w:r>
      <w:r w:rsidRPr="001D0E03">
        <w:rPr>
          <w:rFonts w:ascii="Arial" w:hAnsi="Arial"/>
          <w:sz w:val="14"/>
          <w:szCs w:val="14"/>
        </w:rPr>
        <w:t xml:space="preserve"> Informativo GELIC/SUBAD/SEGER nº 001/2021, datado em 18/01/2021, que trata da dispensa da Declaração de LRF</w:t>
      </w:r>
      <w:r>
        <w:rPr>
          <w:rFonts w:ascii="Arial" w:hAnsi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C36F2" w14:textId="21EB3473" w:rsidR="00AA6EFA" w:rsidRDefault="00AA6EFA">
    <w:pPr>
      <w:pStyle w:val="Cabealho"/>
    </w:pPr>
    <w:r>
      <w:rPr>
        <w:noProof/>
        <w:lang w:eastAsia="pt-BR"/>
      </w:rPr>
      <w:drawing>
        <wp:inline distT="0" distB="0" distL="0" distR="0" wp14:anchorId="5E70A333" wp14:editId="2231B31F">
          <wp:extent cx="1932167" cy="66923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E8DEFA" w14:textId="77777777" w:rsidR="00B12E39" w:rsidRDefault="00B12E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067C"/>
    <w:multiLevelType w:val="multilevel"/>
    <w:tmpl w:val="34D67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73164A"/>
    <w:multiLevelType w:val="multilevel"/>
    <w:tmpl w:val="5A1686A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D0A6584"/>
    <w:multiLevelType w:val="hybridMultilevel"/>
    <w:tmpl w:val="75CC88F4"/>
    <w:lvl w:ilvl="0" w:tplc="F104ADD0">
      <w:start w:val="1"/>
      <w:numFmt w:val="bullet"/>
      <w:lvlText w:val=""/>
      <w:lvlJc w:val="left"/>
      <w:pPr>
        <w:ind w:left="73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0F1847C6"/>
    <w:multiLevelType w:val="hybridMultilevel"/>
    <w:tmpl w:val="3196D24A"/>
    <w:lvl w:ilvl="0" w:tplc="95707FEE">
      <w:start w:val="1"/>
      <w:numFmt w:val="bullet"/>
      <w:lvlText w:val=""/>
      <w:lvlJc w:val="left"/>
      <w:pPr>
        <w:ind w:left="73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7083C93"/>
    <w:multiLevelType w:val="multilevel"/>
    <w:tmpl w:val="D8A86008"/>
    <w:lvl w:ilvl="0">
      <w:start w:val="1"/>
      <w:numFmt w:val="lowerLetter"/>
      <w:lvlText w:val="%1)"/>
      <w:lvlJc w:val="left"/>
      <w:pPr>
        <w:tabs>
          <w:tab w:val="num" w:pos="0"/>
        </w:tabs>
        <w:ind w:left="891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C3301C"/>
    <w:multiLevelType w:val="multilevel"/>
    <w:tmpl w:val="80E09EC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02022CC"/>
    <w:multiLevelType w:val="multilevel"/>
    <w:tmpl w:val="5FE8CA4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7" w15:restartNumberingAfterBreak="0">
    <w:nsid w:val="20CE2759"/>
    <w:multiLevelType w:val="multilevel"/>
    <w:tmpl w:val="00A40182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8" w15:restartNumberingAfterBreak="0">
    <w:nsid w:val="250E48FB"/>
    <w:multiLevelType w:val="multilevel"/>
    <w:tmpl w:val="13F06360"/>
    <w:lvl w:ilvl="0">
      <w:start w:val="1"/>
      <w:numFmt w:val="lowerLetter"/>
      <w:lvlText w:val="%1)"/>
      <w:lvlJc w:val="left"/>
      <w:pPr>
        <w:tabs>
          <w:tab w:val="num" w:pos="-361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19"/>
        </w:tabs>
        <w:ind w:left="719" w:hanging="360"/>
      </w:pPr>
    </w:lvl>
    <w:lvl w:ilvl="2">
      <w:start w:val="1"/>
      <w:numFmt w:val="decimal"/>
      <w:lvlText w:val="%3."/>
      <w:lvlJc w:val="left"/>
      <w:pPr>
        <w:tabs>
          <w:tab w:val="num" w:pos="1079"/>
        </w:tabs>
        <w:ind w:left="1079" w:hanging="360"/>
      </w:pPr>
    </w:lvl>
    <w:lvl w:ilvl="3">
      <w:start w:val="1"/>
      <w:numFmt w:val="decimal"/>
      <w:lvlText w:val="%4."/>
      <w:lvlJc w:val="left"/>
      <w:pPr>
        <w:tabs>
          <w:tab w:val="num" w:pos="1439"/>
        </w:tabs>
        <w:ind w:left="1439" w:hanging="360"/>
      </w:pPr>
    </w:lvl>
    <w:lvl w:ilvl="4">
      <w:start w:val="1"/>
      <w:numFmt w:val="decimal"/>
      <w:lvlText w:val="%5."/>
      <w:lvlJc w:val="left"/>
      <w:pPr>
        <w:tabs>
          <w:tab w:val="num" w:pos="1799"/>
        </w:tabs>
        <w:ind w:left="1799" w:hanging="360"/>
      </w:pPr>
    </w:lvl>
    <w:lvl w:ilvl="5">
      <w:start w:val="1"/>
      <w:numFmt w:val="decimal"/>
      <w:lvlText w:val="%6."/>
      <w:lvlJc w:val="left"/>
      <w:pPr>
        <w:tabs>
          <w:tab w:val="num" w:pos="2159"/>
        </w:tabs>
        <w:ind w:left="2159" w:hanging="360"/>
      </w:pPr>
    </w:lvl>
    <w:lvl w:ilvl="6">
      <w:start w:val="1"/>
      <w:numFmt w:val="decimal"/>
      <w:lvlText w:val="%7."/>
      <w:lvlJc w:val="left"/>
      <w:pPr>
        <w:tabs>
          <w:tab w:val="num" w:pos="2519"/>
        </w:tabs>
        <w:ind w:left="2519" w:hanging="360"/>
      </w:pPr>
    </w:lvl>
    <w:lvl w:ilvl="7">
      <w:start w:val="1"/>
      <w:numFmt w:val="decimal"/>
      <w:lvlText w:val="%8."/>
      <w:lvlJc w:val="left"/>
      <w:pPr>
        <w:tabs>
          <w:tab w:val="num" w:pos="2879"/>
        </w:tabs>
        <w:ind w:left="2879" w:hanging="360"/>
      </w:pPr>
    </w:lvl>
    <w:lvl w:ilvl="8">
      <w:start w:val="1"/>
      <w:numFmt w:val="decimal"/>
      <w:lvlText w:val="%9."/>
      <w:lvlJc w:val="left"/>
      <w:pPr>
        <w:tabs>
          <w:tab w:val="num" w:pos="3239"/>
        </w:tabs>
        <w:ind w:left="3239" w:hanging="360"/>
      </w:pPr>
    </w:lvl>
  </w:abstractNum>
  <w:abstractNum w:abstractNumId="9" w15:restartNumberingAfterBreak="0">
    <w:nsid w:val="28562431"/>
    <w:multiLevelType w:val="multilevel"/>
    <w:tmpl w:val="484847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C7F1F3C"/>
    <w:multiLevelType w:val="multilevel"/>
    <w:tmpl w:val="FBCEB4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CB659C7"/>
    <w:multiLevelType w:val="multilevel"/>
    <w:tmpl w:val="D8A86008"/>
    <w:lvl w:ilvl="0">
      <w:start w:val="1"/>
      <w:numFmt w:val="lowerLetter"/>
      <w:lvlText w:val="%1)"/>
      <w:lvlJc w:val="left"/>
      <w:pPr>
        <w:tabs>
          <w:tab w:val="num" w:pos="0"/>
        </w:tabs>
        <w:ind w:left="891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D330C5A"/>
    <w:multiLevelType w:val="multilevel"/>
    <w:tmpl w:val="13F06360"/>
    <w:lvl w:ilvl="0">
      <w:start w:val="1"/>
      <w:numFmt w:val="lowerLetter"/>
      <w:lvlText w:val="%1)"/>
      <w:lvlJc w:val="left"/>
      <w:pPr>
        <w:tabs>
          <w:tab w:val="num" w:pos="-361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19"/>
        </w:tabs>
        <w:ind w:left="719" w:hanging="360"/>
      </w:pPr>
    </w:lvl>
    <w:lvl w:ilvl="2">
      <w:start w:val="1"/>
      <w:numFmt w:val="decimal"/>
      <w:lvlText w:val="%3."/>
      <w:lvlJc w:val="left"/>
      <w:pPr>
        <w:tabs>
          <w:tab w:val="num" w:pos="1079"/>
        </w:tabs>
        <w:ind w:left="1079" w:hanging="360"/>
      </w:pPr>
    </w:lvl>
    <w:lvl w:ilvl="3">
      <w:start w:val="1"/>
      <w:numFmt w:val="decimal"/>
      <w:lvlText w:val="%4."/>
      <w:lvlJc w:val="left"/>
      <w:pPr>
        <w:tabs>
          <w:tab w:val="num" w:pos="1439"/>
        </w:tabs>
        <w:ind w:left="1439" w:hanging="360"/>
      </w:pPr>
    </w:lvl>
    <w:lvl w:ilvl="4">
      <w:start w:val="1"/>
      <w:numFmt w:val="decimal"/>
      <w:lvlText w:val="%5."/>
      <w:lvlJc w:val="left"/>
      <w:pPr>
        <w:tabs>
          <w:tab w:val="num" w:pos="1799"/>
        </w:tabs>
        <w:ind w:left="1799" w:hanging="360"/>
      </w:pPr>
    </w:lvl>
    <w:lvl w:ilvl="5">
      <w:start w:val="1"/>
      <w:numFmt w:val="decimal"/>
      <w:lvlText w:val="%6."/>
      <w:lvlJc w:val="left"/>
      <w:pPr>
        <w:tabs>
          <w:tab w:val="num" w:pos="2159"/>
        </w:tabs>
        <w:ind w:left="2159" w:hanging="360"/>
      </w:pPr>
    </w:lvl>
    <w:lvl w:ilvl="6">
      <w:start w:val="1"/>
      <w:numFmt w:val="decimal"/>
      <w:lvlText w:val="%7."/>
      <w:lvlJc w:val="left"/>
      <w:pPr>
        <w:tabs>
          <w:tab w:val="num" w:pos="2519"/>
        </w:tabs>
        <w:ind w:left="2519" w:hanging="360"/>
      </w:pPr>
    </w:lvl>
    <w:lvl w:ilvl="7">
      <w:start w:val="1"/>
      <w:numFmt w:val="decimal"/>
      <w:lvlText w:val="%8."/>
      <w:lvlJc w:val="left"/>
      <w:pPr>
        <w:tabs>
          <w:tab w:val="num" w:pos="2879"/>
        </w:tabs>
        <w:ind w:left="2879" w:hanging="360"/>
      </w:pPr>
    </w:lvl>
    <w:lvl w:ilvl="8">
      <w:start w:val="1"/>
      <w:numFmt w:val="decimal"/>
      <w:lvlText w:val="%9."/>
      <w:lvlJc w:val="left"/>
      <w:pPr>
        <w:tabs>
          <w:tab w:val="num" w:pos="3239"/>
        </w:tabs>
        <w:ind w:left="3239" w:hanging="360"/>
      </w:pPr>
    </w:lvl>
  </w:abstractNum>
  <w:abstractNum w:abstractNumId="13" w15:restartNumberingAfterBreak="0">
    <w:nsid w:val="3F2E09AC"/>
    <w:multiLevelType w:val="multilevel"/>
    <w:tmpl w:val="AC4A3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282319"/>
    <w:multiLevelType w:val="multilevel"/>
    <w:tmpl w:val="13F06360"/>
    <w:lvl w:ilvl="0">
      <w:start w:val="1"/>
      <w:numFmt w:val="lowerLetter"/>
      <w:lvlText w:val="%1)"/>
      <w:lvlJc w:val="left"/>
      <w:pPr>
        <w:tabs>
          <w:tab w:val="num" w:pos="-361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19"/>
        </w:tabs>
        <w:ind w:left="719" w:hanging="360"/>
      </w:pPr>
    </w:lvl>
    <w:lvl w:ilvl="2">
      <w:start w:val="1"/>
      <w:numFmt w:val="decimal"/>
      <w:lvlText w:val="%3."/>
      <w:lvlJc w:val="left"/>
      <w:pPr>
        <w:tabs>
          <w:tab w:val="num" w:pos="1079"/>
        </w:tabs>
        <w:ind w:left="1079" w:hanging="360"/>
      </w:pPr>
    </w:lvl>
    <w:lvl w:ilvl="3">
      <w:start w:val="1"/>
      <w:numFmt w:val="decimal"/>
      <w:lvlText w:val="%4."/>
      <w:lvlJc w:val="left"/>
      <w:pPr>
        <w:tabs>
          <w:tab w:val="num" w:pos="1439"/>
        </w:tabs>
        <w:ind w:left="1439" w:hanging="360"/>
      </w:pPr>
    </w:lvl>
    <w:lvl w:ilvl="4">
      <w:start w:val="1"/>
      <w:numFmt w:val="decimal"/>
      <w:lvlText w:val="%5."/>
      <w:lvlJc w:val="left"/>
      <w:pPr>
        <w:tabs>
          <w:tab w:val="num" w:pos="1799"/>
        </w:tabs>
        <w:ind w:left="1799" w:hanging="360"/>
      </w:pPr>
    </w:lvl>
    <w:lvl w:ilvl="5">
      <w:start w:val="1"/>
      <w:numFmt w:val="decimal"/>
      <w:lvlText w:val="%6."/>
      <w:lvlJc w:val="left"/>
      <w:pPr>
        <w:tabs>
          <w:tab w:val="num" w:pos="2159"/>
        </w:tabs>
        <w:ind w:left="2159" w:hanging="360"/>
      </w:pPr>
    </w:lvl>
    <w:lvl w:ilvl="6">
      <w:start w:val="1"/>
      <w:numFmt w:val="decimal"/>
      <w:lvlText w:val="%7."/>
      <w:lvlJc w:val="left"/>
      <w:pPr>
        <w:tabs>
          <w:tab w:val="num" w:pos="2519"/>
        </w:tabs>
        <w:ind w:left="2519" w:hanging="360"/>
      </w:pPr>
    </w:lvl>
    <w:lvl w:ilvl="7">
      <w:start w:val="1"/>
      <w:numFmt w:val="decimal"/>
      <w:lvlText w:val="%8."/>
      <w:lvlJc w:val="left"/>
      <w:pPr>
        <w:tabs>
          <w:tab w:val="num" w:pos="2879"/>
        </w:tabs>
        <w:ind w:left="2879" w:hanging="360"/>
      </w:pPr>
    </w:lvl>
    <w:lvl w:ilvl="8">
      <w:start w:val="1"/>
      <w:numFmt w:val="decimal"/>
      <w:lvlText w:val="%9."/>
      <w:lvlJc w:val="left"/>
      <w:pPr>
        <w:tabs>
          <w:tab w:val="num" w:pos="3239"/>
        </w:tabs>
        <w:ind w:left="3239" w:hanging="360"/>
      </w:pPr>
    </w:lvl>
  </w:abstractNum>
  <w:abstractNum w:abstractNumId="15" w15:restartNumberingAfterBreak="0">
    <w:nsid w:val="50076DA9"/>
    <w:multiLevelType w:val="hybridMultilevel"/>
    <w:tmpl w:val="AB30C8A4"/>
    <w:lvl w:ilvl="0" w:tplc="6686846C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6" w15:restartNumberingAfterBreak="0">
    <w:nsid w:val="51B7205D"/>
    <w:multiLevelType w:val="multilevel"/>
    <w:tmpl w:val="5C92A3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992391"/>
    <w:multiLevelType w:val="multilevel"/>
    <w:tmpl w:val="DD6E720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abstractNum w:abstractNumId="18" w15:restartNumberingAfterBreak="0">
    <w:nsid w:val="5C7E1075"/>
    <w:multiLevelType w:val="multilevel"/>
    <w:tmpl w:val="13F06360"/>
    <w:lvl w:ilvl="0">
      <w:start w:val="1"/>
      <w:numFmt w:val="lowerLetter"/>
      <w:lvlText w:val="%1)"/>
      <w:lvlJc w:val="left"/>
      <w:pPr>
        <w:tabs>
          <w:tab w:val="num" w:pos="0"/>
        </w:tabs>
        <w:ind w:left="721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D222409"/>
    <w:multiLevelType w:val="multilevel"/>
    <w:tmpl w:val="95F8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D68399F"/>
    <w:multiLevelType w:val="multilevel"/>
    <w:tmpl w:val="13F06360"/>
    <w:lvl w:ilvl="0">
      <w:start w:val="1"/>
      <w:numFmt w:val="lowerLetter"/>
      <w:lvlText w:val="%1)"/>
      <w:lvlJc w:val="left"/>
      <w:pPr>
        <w:tabs>
          <w:tab w:val="num" w:pos="0"/>
        </w:tabs>
        <w:ind w:left="721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DF307D5"/>
    <w:multiLevelType w:val="multilevel"/>
    <w:tmpl w:val="CFE4F4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E150626"/>
    <w:multiLevelType w:val="multilevel"/>
    <w:tmpl w:val="13F06360"/>
    <w:lvl w:ilvl="0">
      <w:start w:val="1"/>
      <w:numFmt w:val="lowerLetter"/>
      <w:lvlText w:val="%1)"/>
      <w:lvlJc w:val="left"/>
      <w:pPr>
        <w:tabs>
          <w:tab w:val="num" w:pos="0"/>
        </w:tabs>
        <w:ind w:left="721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EBA4B3F"/>
    <w:multiLevelType w:val="multilevel"/>
    <w:tmpl w:val="5ADC21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21A1A44"/>
    <w:multiLevelType w:val="hybridMultilevel"/>
    <w:tmpl w:val="1FC42E2A"/>
    <w:lvl w:ilvl="0" w:tplc="1F00C9AA">
      <w:start w:val="1"/>
      <w:numFmt w:val="lowerLetter"/>
      <w:lvlText w:val="%1)"/>
      <w:lvlJc w:val="left"/>
      <w:pPr>
        <w:ind w:left="731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5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21"/>
  </w:num>
  <w:num w:numId="5">
    <w:abstractNumId w:val="6"/>
  </w:num>
  <w:num w:numId="6">
    <w:abstractNumId w:val="11"/>
  </w:num>
  <w:num w:numId="7">
    <w:abstractNumId w:val="10"/>
  </w:num>
  <w:num w:numId="8">
    <w:abstractNumId w:val="23"/>
  </w:num>
  <w:num w:numId="9">
    <w:abstractNumId w:val="19"/>
  </w:num>
  <w:num w:numId="10">
    <w:abstractNumId w:val="15"/>
  </w:num>
  <w:num w:numId="11">
    <w:abstractNumId w:val="8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16"/>
  </w:num>
  <w:num w:numId="17">
    <w:abstractNumId w:val="24"/>
  </w:num>
  <w:num w:numId="18">
    <w:abstractNumId w:val="5"/>
  </w:num>
  <w:num w:numId="19">
    <w:abstractNumId w:val="17"/>
  </w:num>
  <w:num w:numId="20">
    <w:abstractNumId w:val="0"/>
  </w:num>
  <w:num w:numId="21">
    <w:abstractNumId w:val="7"/>
  </w:num>
  <w:num w:numId="22">
    <w:abstractNumId w:val="4"/>
  </w:num>
  <w:num w:numId="23">
    <w:abstractNumId w:val="22"/>
  </w:num>
  <w:num w:numId="24">
    <w:abstractNumId w:val="20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embedSystemFonts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40"/>
    <w:rsid w:val="000309B7"/>
    <w:rsid w:val="000412EE"/>
    <w:rsid w:val="00046AF0"/>
    <w:rsid w:val="00057DF8"/>
    <w:rsid w:val="0006680A"/>
    <w:rsid w:val="000929A1"/>
    <w:rsid w:val="000C2DBC"/>
    <w:rsid w:val="000E32F4"/>
    <w:rsid w:val="001011AD"/>
    <w:rsid w:val="00105D5A"/>
    <w:rsid w:val="00113D42"/>
    <w:rsid w:val="00144F05"/>
    <w:rsid w:val="001A2A76"/>
    <w:rsid w:val="001D0E03"/>
    <w:rsid w:val="00202F66"/>
    <w:rsid w:val="00221AC4"/>
    <w:rsid w:val="00241806"/>
    <w:rsid w:val="00274443"/>
    <w:rsid w:val="00295EE0"/>
    <w:rsid w:val="00297071"/>
    <w:rsid w:val="002C56A7"/>
    <w:rsid w:val="002E0E48"/>
    <w:rsid w:val="002E416C"/>
    <w:rsid w:val="003314A4"/>
    <w:rsid w:val="00336647"/>
    <w:rsid w:val="003A5934"/>
    <w:rsid w:val="003B642C"/>
    <w:rsid w:val="003C3F2F"/>
    <w:rsid w:val="003E07A6"/>
    <w:rsid w:val="00437D20"/>
    <w:rsid w:val="0044179A"/>
    <w:rsid w:val="00465912"/>
    <w:rsid w:val="00491949"/>
    <w:rsid w:val="004A375C"/>
    <w:rsid w:val="004D02EA"/>
    <w:rsid w:val="004E6F0A"/>
    <w:rsid w:val="005112CC"/>
    <w:rsid w:val="0052064C"/>
    <w:rsid w:val="00566FB9"/>
    <w:rsid w:val="005A2A31"/>
    <w:rsid w:val="005B6721"/>
    <w:rsid w:val="005E1340"/>
    <w:rsid w:val="005E6CB3"/>
    <w:rsid w:val="005F4D65"/>
    <w:rsid w:val="00600BD0"/>
    <w:rsid w:val="00623256"/>
    <w:rsid w:val="00633CED"/>
    <w:rsid w:val="00641C28"/>
    <w:rsid w:val="00647DAE"/>
    <w:rsid w:val="00654C6D"/>
    <w:rsid w:val="006709F2"/>
    <w:rsid w:val="00697E65"/>
    <w:rsid w:val="006C0F07"/>
    <w:rsid w:val="007D007F"/>
    <w:rsid w:val="007D2837"/>
    <w:rsid w:val="007F49C8"/>
    <w:rsid w:val="00806099"/>
    <w:rsid w:val="00826887"/>
    <w:rsid w:val="00861DF3"/>
    <w:rsid w:val="008A0390"/>
    <w:rsid w:val="008A3B30"/>
    <w:rsid w:val="008B2EA1"/>
    <w:rsid w:val="008E69AB"/>
    <w:rsid w:val="0093182F"/>
    <w:rsid w:val="009447A9"/>
    <w:rsid w:val="00947FAB"/>
    <w:rsid w:val="00954F3E"/>
    <w:rsid w:val="009826C1"/>
    <w:rsid w:val="00992C2B"/>
    <w:rsid w:val="00996544"/>
    <w:rsid w:val="009E3879"/>
    <w:rsid w:val="00A41E6F"/>
    <w:rsid w:val="00A512B1"/>
    <w:rsid w:val="00A5669C"/>
    <w:rsid w:val="00A7512E"/>
    <w:rsid w:val="00AA6EFA"/>
    <w:rsid w:val="00AC1555"/>
    <w:rsid w:val="00AF4CB6"/>
    <w:rsid w:val="00B12E39"/>
    <w:rsid w:val="00B1433D"/>
    <w:rsid w:val="00B31FA3"/>
    <w:rsid w:val="00B4285E"/>
    <w:rsid w:val="00B437A4"/>
    <w:rsid w:val="00B6447D"/>
    <w:rsid w:val="00B74295"/>
    <w:rsid w:val="00B863FC"/>
    <w:rsid w:val="00B9721F"/>
    <w:rsid w:val="00BF36CC"/>
    <w:rsid w:val="00C07ED2"/>
    <w:rsid w:val="00C33FEA"/>
    <w:rsid w:val="00C45DA3"/>
    <w:rsid w:val="00C87581"/>
    <w:rsid w:val="00C951F5"/>
    <w:rsid w:val="00CA7A3B"/>
    <w:rsid w:val="00CB5FA7"/>
    <w:rsid w:val="00CC6E1F"/>
    <w:rsid w:val="00CD0213"/>
    <w:rsid w:val="00CF2DB8"/>
    <w:rsid w:val="00D0115F"/>
    <w:rsid w:val="00D619B6"/>
    <w:rsid w:val="00D65987"/>
    <w:rsid w:val="00D92821"/>
    <w:rsid w:val="00DA0993"/>
    <w:rsid w:val="00DA6319"/>
    <w:rsid w:val="00DB3B63"/>
    <w:rsid w:val="00DB40F3"/>
    <w:rsid w:val="00DB46DF"/>
    <w:rsid w:val="00DC0A15"/>
    <w:rsid w:val="00DD3766"/>
    <w:rsid w:val="00DD46ED"/>
    <w:rsid w:val="00DD5674"/>
    <w:rsid w:val="00DD65F6"/>
    <w:rsid w:val="00DF0DE6"/>
    <w:rsid w:val="00E252E1"/>
    <w:rsid w:val="00E42318"/>
    <w:rsid w:val="00E50FBA"/>
    <w:rsid w:val="00E60CF5"/>
    <w:rsid w:val="00E71B11"/>
    <w:rsid w:val="00E91630"/>
    <w:rsid w:val="00EA2BAF"/>
    <w:rsid w:val="00EC2DE7"/>
    <w:rsid w:val="00ED37C3"/>
    <w:rsid w:val="00F270D8"/>
    <w:rsid w:val="00F32D28"/>
    <w:rsid w:val="00F65F8A"/>
    <w:rsid w:val="00F77279"/>
    <w:rsid w:val="00F87FEA"/>
    <w:rsid w:val="00FA7BE4"/>
    <w:rsid w:val="00FB3B4E"/>
    <w:rsid w:val="00FB3E17"/>
    <w:rsid w:val="00FE0BF9"/>
    <w:rsid w:val="00FF0952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1A1216"/>
  <w15:docId w15:val="{66B54FF0-1E89-4ACB-B11B-8671A740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Arial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/>
      <w:color w:val="auto"/>
    </w:rPr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  <w:rPr>
      <w:b/>
    </w:rPr>
  </w:style>
  <w:style w:type="character" w:customStyle="1" w:styleId="WW8Num4z0">
    <w:name w:val="WW8Num4z0"/>
    <w:qFormat/>
    <w:rPr>
      <w:b/>
      <w:color w:val="auto"/>
    </w:rPr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0">
    <w:name w:val="WW8Num8z0"/>
    <w:qFormat/>
    <w:rPr>
      <w:b/>
      <w:color w:val="auto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  <w:color w:val="auto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/>
      <w:color w:val="auto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/>
      <w:color w:val="auto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b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St15z0">
    <w:name w:val="WW8NumSt15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styleId="Hyperlink">
    <w:name w:val="Hyperlink"/>
    <w:rPr>
      <w:color w:val="0000FF"/>
      <w:u w:val="single"/>
    </w:rPr>
  </w:style>
  <w:style w:type="character" w:customStyle="1" w:styleId="footnotedescriptionChar">
    <w:name w:val="footnote description Char"/>
    <w:qFormat/>
    <w:rPr>
      <w:rFonts w:ascii="Arial" w:eastAsia="Arial" w:hAnsi="Arial" w:cs="Arial"/>
      <w:color w:val="000000"/>
      <w:sz w:val="16"/>
      <w:szCs w:val="22"/>
    </w:rPr>
  </w:style>
  <w:style w:type="character" w:customStyle="1" w:styleId="footnotemark">
    <w:name w:val="footnote mark"/>
    <w:qFormat/>
    <w:rPr>
      <w:rFonts w:ascii="Arial" w:eastAsia="Arial" w:hAnsi="Arial" w:cs="Arial"/>
      <w:b/>
      <w:color w:val="000000"/>
      <w:sz w:val="20"/>
      <w:vertAlign w:val="superscript"/>
    </w:rPr>
  </w:style>
  <w:style w:type="character" w:customStyle="1" w:styleId="TextodenotaderodapChar">
    <w:name w:val="Texto de nota de rodapé Char"/>
    <w:basedOn w:val="Fontepargpadro1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Times New Roman" w:hAnsi="Times New Roman"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ascii="Times New Roman" w:hAnsi="Times New Roman"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08"/>
    </w:pPr>
    <w:rPr>
      <w:rFonts w:cs="Calibri"/>
      <w:sz w:val="22"/>
      <w:szCs w:val="22"/>
    </w:rPr>
  </w:style>
  <w:style w:type="paragraph" w:customStyle="1" w:styleId="footnotedescription">
    <w:name w:val="footnote description"/>
    <w:next w:val="Normal"/>
    <w:qFormat/>
    <w:pPr>
      <w:spacing w:line="264" w:lineRule="auto"/>
      <w:ind w:left="141" w:hanging="141"/>
      <w:jc w:val="both"/>
    </w:pPr>
    <w:rPr>
      <w:rFonts w:ascii="Arial" w:eastAsia="Arial" w:hAnsi="Arial" w:cs="Arial"/>
      <w:color w:val="000000"/>
      <w:sz w:val="16"/>
      <w:szCs w:val="22"/>
      <w:lang w:eastAsia="zh-CN"/>
    </w:rPr>
  </w:style>
  <w:style w:type="paragraph" w:styleId="Textodenotaderodap">
    <w:name w:val="footnote text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2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2E1"/>
    <w:rPr>
      <w:rFonts w:ascii="Tahoma" w:eastAsia="Calibri" w:hAnsi="Tahoma" w:cs="Tahoma"/>
      <w:sz w:val="16"/>
      <w:szCs w:val="16"/>
      <w:lang w:eastAsia="zh-CN"/>
    </w:rPr>
  </w:style>
  <w:style w:type="paragraph" w:styleId="Reviso">
    <w:name w:val="Revision"/>
    <w:hidden/>
    <w:uiPriority w:val="99"/>
    <w:semiHidden/>
    <w:rsid w:val="00F77279"/>
    <w:pPr>
      <w:suppressAutoHyphens w:val="0"/>
    </w:pPr>
    <w:rPr>
      <w:rFonts w:ascii="Calibri" w:eastAsia="Calibri" w:hAnsi="Calibri" w:cs="Arial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566F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6FB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6FB9"/>
    <w:rPr>
      <w:rFonts w:ascii="Calibri" w:eastAsia="Calibri" w:hAnsi="Calibri" w:cs="Arial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6F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6FB9"/>
    <w:rPr>
      <w:rFonts w:ascii="Calibri" w:eastAsia="Calibri" w:hAnsi="Calibri" w:cs="Arial"/>
      <w:b/>
      <w:bCs/>
      <w:lang w:eastAsia="zh-CN"/>
    </w:rPr>
  </w:style>
  <w:style w:type="character" w:styleId="Forte">
    <w:name w:val="Strong"/>
    <w:basedOn w:val="Fontepargpadro"/>
    <w:uiPriority w:val="22"/>
    <w:qFormat/>
    <w:rsid w:val="007D2837"/>
    <w:rPr>
      <w:b/>
      <w:bCs/>
    </w:rPr>
  </w:style>
  <w:style w:type="character" w:styleId="Refdenotaderodap">
    <w:name w:val="footnote reference"/>
    <w:basedOn w:val="Fontepargpadro"/>
    <w:uiPriority w:val="99"/>
    <w:semiHidden/>
    <w:unhideWhenUsed/>
    <w:rsid w:val="00C33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A236B-3950-4F18-91E0-1A4C30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 MARCIA PINTO MOREIRA</dc:creator>
  <dc:description/>
  <cp:lastModifiedBy>Fabricio Borgo</cp:lastModifiedBy>
  <cp:revision>3</cp:revision>
  <cp:lastPrinted>2022-04-29T12:47:00Z</cp:lastPrinted>
  <dcterms:created xsi:type="dcterms:W3CDTF">2023-06-15T17:05:00Z</dcterms:created>
  <dcterms:modified xsi:type="dcterms:W3CDTF">2023-06-15T17:07:00Z</dcterms:modified>
  <dc:language>pt-BR</dc:language>
</cp:coreProperties>
</file>