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9D74" w14:textId="77777777" w:rsidR="00451D9D" w:rsidRPr="00DA1D6F" w:rsidRDefault="00451D9D" w:rsidP="00451D9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III</w:t>
      </w:r>
    </w:p>
    <w:p w14:paraId="5BB033AB" w14:textId="77777777" w:rsidR="00451D9D" w:rsidRPr="00DA1D6F" w:rsidRDefault="00451D9D" w:rsidP="00451D9D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Adesão à Ata de Registro de Preços</w:t>
      </w:r>
    </w:p>
    <w:p w14:paraId="11BB20BC" w14:textId="77777777" w:rsidR="00451D9D" w:rsidRPr="00DA1D6F" w:rsidRDefault="00451D9D" w:rsidP="00451D9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404"/>
        <w:gridCol w:w="1907"/>
        <w:gridCol w:w="2063"/>
        <w:gridCol w:w="1489"/>
        <w:gridCol w:w="1592"/>
      </w:tblGrid>
      <w:tr w:rsidR="00D17959" w:rsidRPr="00DA1D6F" w14:paraId="030EE105" w14:textId="77777777" w:rsidTr="007C34BF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48B51A00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66B34C36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404" w:type="dxa"/>
            <w:shd w:val="clear" w:color="000000" w:fill="D5DCE4"/>
            <w:vAlign w:val="center"/>
            <w:hideMark/>
          </w:tcPr>
          <w:p w14:paraId="077FA822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1907" w:type="dxa"/>
            <w:shd w:val="clear" w:color="000000" w:fill="D5DCE4"/>
            <w:vAlign w:val="center"/>
            <w:hideMark/>
          </w:tcPr>
          <w:p w14:paraId="4761E523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11A03FD1" w14:textId="77777777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51D15219" w14:textId="77777777" w:rsidR="00BA4CF2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 da peça no</w:t>
            </w:r>
          </w:p>
          <w:p w14:paraId="4BBCEF12" w14:textId="711832FC" w:rsidR="00D17959" w:rsidRPr="00DA1D6F" w:rsidRDefault="00BA4CF2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69B85EB9" w14:textId="4868DB3E" w:rsidR="00553346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2A2C5D95" w14:textId="3D7C6EED" w:rsidR="00D17959" w:rsidRPr="00DA1D6F" w:rsidRDefault="00D17959" w:rsidP="00DA1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6F740A" w:rsidRPr="00DA1D6F" w14:paraId="5E0C5C36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CDB1FA8" w14:textId="77777777" w:rsidR="00BD5280" w:rsidRPr="00DA1D6F" w:rsidRDefault="00BD528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ED628A9" w14:textId="6851C35B" w:rsidR="006F740A" w:rsidRPr="00DA1D6F" w:rsidRDefault="003E1CD4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Solicitação inicial identificando a necessidade de aquisição/contratação de algum bem ou serviço pelo Setor demandante</w:t>
            </w:r>
            <w:r w:rsidR="006F740A">
              <w:rPr>
                <w:rStyle w:val="Refdenotaderodap"/>
                <w:rFonts w:ascii="Arial" w:eastAsia="Arial" w:hAnsi="Arial" w:cs="Arial"/>
                <w:sz w:val="16"/>
                <w:szCs w:val="16"/>
                <w:lang w:eastAsia="pt-BR"/>
              </w:rPr>
              <w:footnoteReference w:id="1"/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58E2B5D5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015;</w:t>
            </w:r>
          </w:p>
          <w:p w14:paraId="0C668F70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16.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599741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B082764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indicativo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2DC23A3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24FE4E1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2BEC8A73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B3A779C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D0B560B" w14:textId="7D761B9A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Justificativa da área interessada para aquisição/contratação contendo o quantitativo a ser contratado 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26F0AA95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015;</w:t>
            </w:r>
          </w:p>
          <w:p w14:paraId="79CCCDA6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16.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40FA49F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CF59CAB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(preferencialmente dentro do Termo de Referência ou Projeto Básico).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5882E93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46FB12A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344811C2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C8830B9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FC205F7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Termo de Referência ou Projeto Básico assinado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516BCFFD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8.666/93, art. 7º, inc. I e art. 14.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3016EF1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.:Área demandante]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ADFC29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 ou Projeto Básico assinado pelos responsáveis da área demandante.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539D8C6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73E18BE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63BBA6D0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BDE060F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F9B4B56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Aprovação do Termo de Referência ou Projeto Básico pela autoridade competente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23A5EC9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7º, §2º, inc. I.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F717E1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competente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FFE5AF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aprovando o Termo de Referência ou Projeto Básico.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BF5B60A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C556976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786F2250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0FB5653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52B830C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Manifestação quanto aos aspectos técnicos (somente para de contratação de serviços, aquisição ou locação de equipamentos de informática)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614F357B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2.458-R, Art. 39; </w:t>
            </w:r>
          </w:p>
          <w:p w14:paraId="36C38C85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4.379-R.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06F2A62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PRODEST; CIDT (relevante demanda)]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5DE00B7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Manifestação técnica.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0CE235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F2E25DC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00874A92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A845C82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2DDD466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Ampla</w:t>
            </w:r>
            <w:r>
              <w:rPr>
                <w:rStyle w:val="Refdenotaderodap"/>
                <w:rFonts w:ascii="Arial" w:eastAsia="Arial" w:hAnsi="Arial" w:cs="Arial"/>
                <w:sz w:val="16"/>
                <w:szCs w:val="16"/>
                <w:lang w:eastAsia="pt-BR"/>
              </w:rPr>
              <w:footnoteReference w:id="2"/>
            </w: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pesquisa de preços, com consulta a fornecedores e a referência de preços obtidos a partir dos contratos anteriores do próprio órgão, de contratos de outros órgãos, de atas de registro de preços ou quaisquer outras fontes capazes de retratar o valor de mercado da contratação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332A197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8.666/93, art. 15, inciso V, § 1º;</w:t>
            </w:r>
          </w:p>
          <w:p w14:paraId="7120680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nº 1.545/2003-TCU-1ª Câmara – Relação nº 49/2003;</w:t>
            </w:r>
          </w:p>
          <w:p w14:paraId="03431D40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nº 222/2004-TCU-1ª Câmara;</w:t>
            </w:r>
          </w:p>
          <w:p w14:paraId="40C5D1EE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nº 2.975/2004-TCU-1ª Câmara.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00135B5A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1A4458B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orçamentária;</w:t>
            </w:r>
          </w:p>
          <w:p w14:paraId="160CA1AB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Composição de preços unitários dos serviços não constantes das tabelas referenciais;</w:t>
            </w:r>
          </w:p>
          <w:p w14:paraId="7DA2D8C7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preços.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B634D9F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BA5BE6D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178CFF8A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14476E3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A91D6FB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A cópia da ata de registro de preços juntada aos autos, e utilizada como comparativo no mapa de apuração do preço mais vantajoso e na descrição do objeto que atenda perfeitamente as necessidades solicitadas 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67F12B6E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8.666/93, art. 3º.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A1C0968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.:gestor do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0A1AA95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Mapa comparativo de preços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519DAC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BEA535D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36AB14AA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7340237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145AA7B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Justificativa da autoridade competente informando a vantagem de aderir a ata de registro de preços em relação à realização de licitação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28AA1AD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1.790-R/2007, art. 17, caput.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0D52C29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competente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D0BEA40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da Autoridade competente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D266C6C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61A368B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167562BA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C449100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D7BA5A2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Autorização do ordenador de despesas para início dos procedimentos de adesão e contratação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1B8E22A0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AGE(SECONT)/SEGER nº 01-R/2007, art. 1º, I, “e”.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36D327B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ordenador de despesa]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DA8992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autorizativo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807A9E2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90D1898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7AD69606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0593570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963E88B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reserva dos recursos necessários para o exercício em curso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38DD1B0D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III;</w:t>
            </w:r>
          </w:p>
          <w:p w14:paraId="1563938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2.458-R, art. 30, I;</w:t>
            </w:r>
          </w:p>
          <w:p w14:paraId="282022D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1.790-R/2007, art. 14;</w:t>
            </w:r>
          </w:p>
          <w:p w14:paraId="73E4BEA2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Norma de procedimento SCL nº 004; </w:t>
            </w:r>
          </w:p>
          <w:p w14:paraId="29723FB8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Norma de procedimento SCL nº 015; </w:t>
            </w:r>
          </w:p>
          <w:p w14:paraId="1F033ADB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016.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9F5A23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GFS]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F5C52A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reserva.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3DC69A6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9CDE4FD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5D72AF3E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5465566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646EF37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Indicação do Grupo de Planejamento e Orçamento - GPO sobre a fonte de recursos da licitação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2A53DD8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7º, §2º, inc. III;</w:t>
            </w:r>
          </w:p>
          <w:p w14:paraId="6E6782D9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 2.458-R/2010, art. 30, inc. IV; </w:t>
            </w:r>
          </w:p>
          <w:p w14:paraId="1413BF1D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1.790-R/2007, art. 14.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4976DD0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05C99D5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de Dotação orçamentária pela qual correrá a despesa.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B864EFB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A90BB6A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3F8B4CE2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3B9C048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8124D11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Detalhamento da Dotação – DD e/ou declaração orçamentária, quando se tratar de recursos relativos ao exercício seguinte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512366E2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57, inc. I e II.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62EC08B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A9D8988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Cronograma de execução financeira.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8B21BF7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3E7D2B6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650A68F1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E115FDA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B9721A9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sempre que não prevista na Lei Orçamentária.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4FF326B6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Complementar nº 101/2000, art.16, inc. II; </w:t>
            </w:r>
          </w:p>
          <w:p w14:paraId="3E20F78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nº 883/2005-TCU, Primeira Câmara; </w:t>
            </w:r>
          </w:p>
          <w:p w14:paraId="11C59120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Manual de Demonstrativos Fiscais, STN, 9ª ed.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635D353D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9D06358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Cronograma de execução financeira.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A7FD5F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53FA0D9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19153D3B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B68C3A9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D2709A0" w14:textId="77777777" w:rsidR="006F740A" w:rsidRPr="005E351A" w:rsidRDefault="006F740A" w:rsidP="00CF61AA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eastAsia="pt-BR"/>
              </w:rPr>
            </w:pPr>
            <w:r w:rsidRPr="00CF61A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de que a despesa se encontra adequada com a Lei Orçamentária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CF61A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Anual e compatível com a Lei de Diretrizes Orçamentárias e ainda com o Plano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CF61A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Plurianual”; e da seguinte base legal: “Lei Complementar nº 101, art. 16, II.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3DA93A28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101/2000, art.16, inc. II.</w:t>
            </w:r>
            <w:r>
              <w:rPr>
                <w:rStyle w:val="Refdenotaderodap"/>
                <w:rFonts w:ascii="Arial" w:eastAsia="Times New Roman" w:hAnsi="Arial" w:cs="Arial"/>
                <w:sz w:val="16"/>
                <w:szCs w:val="16"/>
                <w:lang w:eastAsia="pt-BR"/>
              </w:rPr>
              <w:footnoteReference w:id="3"/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028F41D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Ordenador de despesas]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E29BF5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Ordenador de despesa.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29F7A41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B21C1D1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7C27741B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EDAC3CB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99627E7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Consulta ao Órgão Gerenciador da Ata de Registro de Preços quanto à possibilidade de adesão, observando a descrição e quantitativos dos itens pretendidos 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608584A2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Portaria AGE(SECONT)/SEGER 01-R/2007, art. 1º, I, “g” 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7D3E3222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6164926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Ofício de solicitação de utilização da ARP.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00107F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29AEA9E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012DB309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09E1F4E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D23B19B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Autorização do órgão gerenciador, com relatório disponível demonstrando as adesões efetuadas e os quantitativos utilizados de cada item registrado e a declaração de que a adesão não ultrapassará o limite permitido para cada item</w:t>
            </w:r>
            <w:r>
              <w:rPr>
                <w:rStyle w:val="Refdenotaderodap"/>
                <w:rFonts w:ascii="Arial" w:eastAsia="Arial" w:hAnsi="Arial" w:cs="Arial"/>
                <w:sz w:val="16"/>
                <w:szCs w:val="16"/>
                <w:lang w:eastAsia="pt-BR"/>
              </w:rPr>
              <w:footnoteReference w:id="4"/>
            </w: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, e de que as adesões já realizadas a Ata originária não tenham ultrapassado o quíntuplo do quantitativo de cada item registrado na Ata de Registro de Preços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7D61389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AGE(SECONT)/SEGER nº 01-R/2007, art. 1º, I, “h”;</w:t>
            </w:r>
          </w:p>
          <w:p w14:paraId="15C5A672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nº1.790-R/2007,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17, §3.</w:t>
            </w:r>
          </w:p>
          <w:p w14:paraId="5A8F1AEF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Decreto Estadual nº1.790-R/2007,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18, §5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3F093384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órgão gerenciador]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F0A2FF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Ofício autorizativo.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4DFB901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5C928C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31C794D6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13A0CDA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B0BE3F5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Ofício de consulta ao fornecedor e seu respectivo aceite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52350E5C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AGE(SECONT)/SEGER nº 01-R/2007, art. 1º, I, “h”.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874CFE3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fornecedor]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45829F5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Ofício autorizativo.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54E6476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B70CF2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4261D380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0A599DA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C0C1E4D" w14:textId="77777777" w:rsidR="006F740A" w:rsidRPr="00DA1D6F" w:rsidRDefault="006F740A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Cópia integral do edital e seus anexos, bem como da Ata de Registro de Preços, com previsão de quantitativo à adesão por órgão não participante e respectivas publicações 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77F37591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8.666/93, art. 40, § 1º.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1F236C8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42C8147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Anexação ao processo dos documentos pertinentes.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A686CD7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3244B19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F740A" w:rsidRPr="00DA1D6F" w14:paraId="7900C595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DFBB209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BE9E99E" w14:textId="77777777" w:rsidR="006F740A" w:rsidRPr="00DA1D6F" w:rsidRDefault="006F740A" w:rsidP="00146B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>D</w:t>
            </w:r>
            <w:r w:rsidRPr="00146B7F">
              <w:rPr>
                <w:rFonts w:ascii="Arial" w:eastAsia="Arial" w:hAnsi="Arial" w:cs="Arial"/>
                <w:sz w:val="16"/>
                <w:szCs w:val="16"/>
                <w:lang w:eastAsia="pt-BR"/>
              </w:rPr>
              <w:t>ocumentação de regularidade fiscal do fornecedor, observadas as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146B7F">
              <w:rPr>
                <w:rFonts w:ascii="Arial" w:eastAsia="Arial" w:hAnsi="Arial" w:cs="Arial"/>
                <w:sz w:val="16"/>
                <w:szCs w:val="16"/>
                <w:lang w:eastAsia="pt-BR"/>
              </w:rPr>
              <w:t>disposições contidas nos artigos 29 e 32 da Lei 8.666/93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57B4573F" w14:textId="77777777" w:rsidR="006F740A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Federal nº 8.666/93, art.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29 e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32.</w:t>
            </w:r>
          </w:p>
          <w:p w14:paraId="3C83E7AD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A1B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AGE/SEGER n. º 01/2007.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B5B9EE2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4EAFF11" w14:textId="77777777" w:rsidR="006F740A" w:rsidRPr="00DA1D6F" w:rsidRDefault="006F740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Anexação ao processo dos documentos pertinentes.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6482D80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A06914B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32956" w:rsidRPr="00DA1D6F" w14:paraId="60BE21A2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2DA8CF14" w14:textId="77777777" w:rsidR="006F740A" w:rsidRPr="00DA1D6F" w:rsidRDefault="006F740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01D061C" w14:textId="77777777" w:rsidR="006F740A" w:rsidRPr="00332956" w:rsidRDefault="006F740A" w:rsidP="0033295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>A</w:t>
            </w:r>
            <w:r w:rsidRPr="00332956">
              <w:rPr>
                <w:rFonts w:ascii="Arial" w:eastAsia="Arial" w:hAnsi="Arial" w:cs="Arial"/>
                <w:sz w:val="16"/>
                <w:szCs w:val="16"/>
                <w:lang w:eastAsia="pt-BR"/>
              </w:rPr>
              <w:t>testar nos autos que o fornecedor não está cumprindo</w:t>
            </w:r>
          </w:p>
          <w:p w14:paraId="03512132" w14:textId="348043D4" w:rsidR="006F740A" w:rsidRPr="00DA1D6F" w:rsidRDefault="006F740A" w:rsidP="0033295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  <w:lang w:eastAsia="pt-BR"/>
              </w:rPr>
            </w:pPr>
            <w:r w:rsidRPr="00332956">
              <w:rPr>
                <w:rFonts w:ascii="Arial" w:eastAsia="Arial" w:hAnsi="Arial" w:cs="Arial"/>
                <w:sz w:val="16"/>
                <w:szCs w:val="16"/>
                <w:lang w:eastAsia="pt-BR"/>
              </w:rPr>
              <w:t>sanção impeditiva de contratação com a Administração, observando a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332956">
              <w:rPr>
                <w:rFonts w:ascii="Arial" w:eastAsia="Arial" w:hAnsi="Arial" w:cs="Arial"/>
                <w:sz w:val="16"/>
                <w:szCs w:val="16"/>
                <w:lang w:eastAsia="pt-BR"/>
              </w:rPr>
              <w:t>orientação uniformizada pelo Conselho da PGE por intermédio do Acórdão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332956">
              <w:rPr>
                <w:rFonts w:ascii="Arial" w:eastAsia="Arial" w:hAnsi="Arial" w:cs="Arial"/>
                <w:sz w:val="16"/>
                <w:szCs w:val="16"/>
                <w:lang w:eastAsia="pt-BR"/>
              </w:rPr>
              <w:t>006/2018.</w:t>
            </w:r>
            <w:r>
              <w:rPr>
                <w:rStyle w:val="Refdenotaderodap"/>
                <w:rFonts w:ascii="Arial" w:eastAsia="Arial" w:hAnsi="Arial" w:cs="Arial"/>
                <w:sz w:val="16"/>
                <w:szCs w:val="16"/>
                <w:lang w:eastAsia="pt-BR"/>
              </w:rPr>
              <w:footnoteReference w:id="5"/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A731EFA" w14:textId="5A009A46" w:rsidR="00332956" w:rsidRPr="00DA1D6F" w:rsidRDefault="00332956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32956">
              <w:rPr>
                <w:rFonts w:ascii="Arial" w:eastAsia="Arial" w:hAnsi="Arial" w:cs="Arial"/>
                <w:sz w:val="16"/>
                <w:szCs w:val="16"/>
                <w:lang w:eastAsia="pt-BR"/>
              </w:rPr>
              <w:t>Enunciado CPGE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332956">
              <w:rPr>
                <w:rFonts w:ascii="Arial" w:eastAsia="Arial" w:hAnsi="Arial" w:cs="Arial"/>
                <w:sz w:val="16"/>
                <w:szCs w:val="16"/>
                <w:lang w:eastAsia="pt-BR"/>
              </w:rPr>
              <w:t>nº 36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0D785649" w14:textId="188944AA" w:rsidR="00332956" w:rsidRPr="00DA1D6F" w:rsidRDefault="00402CA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/órgão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]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C92E37E" w14:textId="5CC49EC4" w:rsidR="00332956" w:rsidRPr="00DA1D6F" w:rsidRDefault="00402CA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Atestado emitido.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A2E42BA" w14:textId="77777777" w:rsidR="00332956" w:rsidRPr="00DA1D6F" w:rsidRDefault="00332956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BC286E7" w14:textId="77777777" w:rsidR="00332956" w:rsidRPr="00DA1D6F" w:rsidRDefault="00332956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17959" w:rsidRPr="00DA1D6F" w14:paraId="2DF55E95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184DFE6" w14:textId="07AD494E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4E7B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18E645A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Minuta do contrato ou instrumento equivalente 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7EACBCD0" w14:textId="2B5751E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8.666/93, art. 62.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43D47BF6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jurídica]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9A464B5" w14:textId="0D0D2F7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edital e anexos.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2B8538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468A7A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4348A" w:rsidRPr="00DA1D6F" w14:paraId="7EFAE920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93A3F97" w14:textId="7E45C9E3" w:rsidR="0064348A" w:rsidRPr="00DA1D6F" w:rsidRDefault="0064348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4E7B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AA645F2" w14:textId="6C467B6B" w:rsidR="0064348A" w:rsidRPr="00DA1D6F" w:rsidRDefault="002D5FD3" w:rsidP="002D5F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D5FD3">
              <w:rPr>
                <w:rFonts w:ascii="Arial" w:eastAsia="Arial" w:hAnsi="Arial" w:cs="Arial"/>
                <w:sz w:val="16"/>
                <w:szCs w:val="16"/>
                <w:lang w:eastAsia="pt-BR"/>
              </w:rPr>
              <w:t>Certificado emitido pelo agente responsável atestando o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2D5FD3">
              <w:rPr>
                <w:rFonts w:ascii="Arial" w:eastAsia="Arial" w:hAnsi="Arial" w:cs="Arial"/>
                <w:sz w:val="16"/>
                <w:szCs w:val="16"/>
                <w:lang w:eastAsia="pt-BR"/>
              </w:rPr>
              <w:t>atendimento dos requisitos do Enunciado CPGE nº 36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7D61056" w14:textId="2923B15E" w:rsidR="0064348A" w:rsidRPr="00DA1D6F" w:rsidRDefault="002D5FD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Enunciado CPGE nº 36.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A3D684A" w14:textId="3E0A66D0" w:rsidR="0064348A" w:rsidRPr="00DA1D6F" w:rsidRDefault="0064348A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</w:t>
            </w:r>
            <w:r w:rsidR="00402CA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/órgão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0D6CFCE" w14:textId="0A758B53" w:rsidR="0064348A" w:rsidRPr="00DA1D6F" w:rsidRDefault="003E72E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Certificado</w:t>
            </w:r>
            <w:r w:rsidR="0064348A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emitido.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BEEBB0C" w14:textId="77777777" w:rsidR="0064348A" w:rsidRPr="00DA1D6F" w:rsidRDefault="0064348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08A9175" w14:textId="77777777" w:rsidR="0064348A" w:rsidRPr="00DA1D6F" w:rsidRDefault="0064348A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1AAA966" w14:textId="77777777" w:rsidTr="007C34BF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9CC768F" w14:textId="162E0071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4E7B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3ED0EB7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Demonstração do cumprimento dos requisitos do Enunciado CPGE nº 36.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385A2FE3" w14:textId="7C3404A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Enunciado CPGE nº 36.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76EBF426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PGE/Pregoeiro]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5024A18" w14:textId="4D77064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emitida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3E150F6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5EBC9D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122087A3" w14:textId="68D3A43F" w:rsidR="00EB4031" w:rsidRPr="00DA1D6F" w:rsidRDefault="00EB4031" w:rsidP="00B303C5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</w:p>
    <w:sectPr w:rsidR="00EB4031" w:rsidRPr="00DA1D6F" w:rsidSect="00B55006">
      <w:headerReference w:type="default" r:id="rId8"/>
      <w:pgSz w:w="16838" w:h="11906" w:orient="landscape"/>
      <w:pgMar w:top="1701" w:right="127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  <w:footnote w:id="1">
    <w:p w14:paraId="7E9B7FE7" w14:textId="77777777" w:rsidR="006F740A" w:rsidRPr="00FF1261" w:rsidRDefault="006F740A" w:rsidP="003E1CD4">
      <w:pPr>
        <w:pStyle w:val="Textodenotaderodap"/>
        <w:rPr>
          <w:rFonts w:ascii="Arial" w:hAnsi="Arial" w:cs="Arial"/>
          <w:sz w:val="16"/>
          <w:szCs w:val="16"/>
        </w:rPr>
      </w:pPr>
      <w:r w:rsidRPr="009B56CF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F1261">
        <w:rPr>
          <w:rFonts w:ascii="Arial" w:hAnsi="Arial" w:cs="Arial"/>
          <w:sz w:val="16"/>
          <w:szCs w:val="16"/>
        </w:rPr>
        <w:t xml:space="preserve"> A área interessada obrigatoriamente tem que verificar suas reais demandas e necessidades, estimando-as de forma razoável. A medida evitará desvios e incorreções futuras. A justificativa deverá ser fundamentada dos quantitativos (bens/serviços) requisitados, tais como demonstrativo de consumo dos exercícios anteriores, relatórios do almoxarifado e/ou outros dados objetivos que demonstrem o dimensionamento adequado da contratação.</w:t>
      </w:r>
    </w:p>
  </w:footnote>
  <w:footnote w:id="2">
    <w:p w14:paraId="2E86C039" w14:textId="77777777" w:rsidR="006F740A" w:rsidRDefault="006F740A" w:rsidP="00FF1261">
      <w:pPr>
        <w:spacing w:before="120" w:line="240" w:lineRule="auto"/>
      </w:pPr>
      <w:r w:rsidRPr="009B56CF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FF1261">
        <w:rPr>
          <w:rFonts w:ascii="Arial" w:hAnsi="Arial" w:cs="Arial"/>
          <w:sz w:val="16"/>
          <w:szCs w:val="16"/>
        </w:rPr>
        <w:t xml:space="preserve"> Além de consultas aos fornecedores do ramo do objeto solicitado, devem ser realizadas pesquisas em outros órgãos e entidades da administração pública e aos sistemas de compras do governo, do Portal de Compras do Governo Federal (</w:t>
      </w:r>
      <w:hyperlink r:id="rId1" w:history="1">
        <w:r w:rsidRPr="00FF1261">
          <w:rPr>
            <w:rStyle w:val="Hyperlink"/>
            <w:rFonts w:ascii="Arial" w:hAnsi="Arial" w:cs="Arial"/>
            <w:color w:val="auto"/>
            <w:sz w:val="16"/>
            <w:szCs w:val="16"/>
          </w:rPr>
          <w:t>www.comprasnet.gov.br</w:t>
        </w:r>
      </w:hyperlink>
      <w:r w:rsidRPr="00FF1261">
        <w:rPr>
          <w:rFonts w:ascii="Arial" w:hAnsi="Arial" w:cs="Arial"/>
          <w:sz w:val="16"/>
          <w:szCs w:val="16"/>
        </w:rPr>
        <w:t>), dentre outros, as quais devem constar dos autos do correspondente processo. A mera comparação dos valores constantes na Ata com os obtidos junto a empresas consultadas na fase interna de licitação não é suficiente para configurar a vantajosidade da adesão, devendo o “Carona” se socorrer de outras fontes, a exemplo de licitações e contratos similares realizados no âmbito da Administração Pública (TCU, Acórdão nº 420/2018, Plenário).</w:t>
      </w:r>
    </w:p>
  </w:footnote>
  <w:footnote w:id="3">
    <w:p w14:paraId="02891591" w14:textId="77777777" w:rsidR="006F740A" w:rsidRPr="00837F58" w:rsidRDefault="006F740A" w:rsidP="00837F58">
      <w:pPr>
        <w:spacing w:before="120" w:after="120" w:line="240" w:lineRule="auto"/>
        <w:rPr>
          <w:rStyle w:val="Refdenotaderodap"/>
          <w:rFonts w:ascii="Arial" w:hAnsi="Arial" w:cs="Arial"/>
          <w:sz w:val="16"/>
          <w:szCs w:val="16"/>
          <w:vertAlign w:val="baseline"/>
        </w:rPr>
      </w:pPr>
      <w:r w:rsidRPr="009B56CF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837F58">
        <w:rPr>
          <w:rStyle w:val="Refdenotaderodap"/>
          <w:rFonts w:ascii="Arial" w:hAnsi="Arial" w:cs="Arial"/>
          <w:sz w:val="16"/>
          <w:szCs w:val="16"/>
          <w:vertAlign w:val="baseline"/>
        </w:rPr>
        <w:t xml:space="preserve"> Observar o disposto no Parecer PGE/PCA nº 0225/2020 e respectivas aprovações, conforme Informativo GELIC 01/2021, que trata da aplicação dos artigos 16 e 17 da Lei de Responsabilidade Fiscal.</w:t>
      </w:r>
    </w:p>
  </w:footnote>
  <w:footnote w:id="4">
    <w:p w14:paraId="600CFA65" w14:textId="77777777" w:rsidR="006F740A" w:rsidRDefault="006F740A" w:rsidP="00837F58">
      <w:pPr>
        <w:spacing w:before="120" w:after="120" w:line="240" w:lineRule="auto"/>
      </w:pPr>
      <w:r w:rsidRPr="009B56CF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837F58">
        <w:rPr>
          <w:rStyle w:val="Refdenotaderodap"/>
          <w:rFonts w:ascii="Arial" w:hAnsi="Arial" w:cs="Arial"/>
          <w:sz w:val="16"/>
          <w:szCs w:val="16"/>
          <w:vertAlign w:val="baseline"/>
        </w:rPr>
        <w:t xml:space="preserve"> As aquisições ou contratações adicionais não poderão exceder, por órgão ou entidade, a cem por cento dos quantitativos dos itens do instrumento convocatório e registrados na Ata de Registro de Preços para o órgão gerenciador e órgãos participantes. (Redação dada pelo Decreto n.º 3.540-R, de 10.3.2014 – D.O.E. de 11.3.2014).</w:t>
      </w:r>
    </w:p>
  </w:footnote>
  <w:footnote w:id="5">
    <w:p w14:paraId="6CEEE0AA" w14:textId="77777777" w:rsidR="006F740A" w:rsidRPr="00987665" w:rsidRDefault="006F740A">
      <w:pPr>
        <w:pStyle w:val="Textodenotaderodap"/>
        <w:rPr>
          <w:rFonts w:ascii="Arial" w:hAnsi="Arial" w:cs="Arial"/>
          <w:sz w:val="16"/>
          <w:szCs w:val="16"/>
        </w:rPr>
      </w:pPr>
      <w:r w:rsidRPr="00DE519A">
        <w:rPr>
          <w:rStyle w:val="Refdenotaderodap"/>
          <w:rFonts w:ascii="Arial" w:hAnsi="Arial" w:cs="Arial"/>
          <w:b/>
          <w:bCs/>
          <w:sz w:val="16"/>
          <w:szCs w:val="16"/>
        </w:rPr>
        <w:footnoteRef/>
      </w:r>
      <w:r w:rsidRPr="00987665">
        <w:rPr>
          <w:rFonts w:ascii="Arial" w:hAnsi="Arial" w:cs="Arial"/>
          <w:sz w:val="16"/>
          <w:szCs w:val="16"/>
        </w:rPr>
        <w:t xml:space="preserve"> Como condição prévia ao exame da documentação de habilitação, deverá ser verificado eventual descumprimento das condições de participação, especialmente quanto à existência de sanção que impeça a participação no procedimento ou a futura contratação, mediante a consulta ao Cadastro de Fornecedores Sancionados do Sistema Integrado de Gestão Administrativa (SIGA-ES), além do já mencionado Cadastro Nacional de Empresas Inidôneas e Suspensas (CEIS).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3DC4603B" w:rsidR="00923085" w:rsidRDefault="00923085" w:rsidP="006F740A">
    <w:pPr>
      <w:pStyle w:val="Cabealho"/>
      <w:tabs>
        <w:tab w:val="clear" w:pos="4252"/>
        <w:tab w:val="clear" w:pos="8504"/>
        <w:tab w:val="left" w:pos="4803"/>
      </w:tabs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46B7F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47D8B"/>
    <w:rsid w:val="00250C4D"/>
    <w:rsid w:val="00251C6D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D5FD3"/>
    <w:rsid w:val="002F35A5"/>
    <w:rsid w:val="002F60EF"/>
    <w:rsid w:val="00302CDA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2956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1B97"/>
    <w:rsid w:val="003A2900"/>
    <w:rsid w:val="003A345E"/>
    <w:rsid w:val="003B1E4C"/>
    <w:rsid w:val="003B2748"/>
    <w:rsid w:val="003B6B70"/>
    <w:rsid w:val="003D46CC"/>
    <w:rsid w:val="003E1CD4"/>
    <w:rsid w:val="003E2678"/>
    <w:rsid w:val="003E455C"/>
    <w:rsid w:val="003E72E1"/>
    <w:rsid w:val="003F3762"/>
    <w:rsid w:val="00402CA7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3411"/>
    <w:rsid w:val="0044478E"/>
    <w:rsid w:val="00444864"/>
    <w:rsid w:val="00450ADC"/>
    <w:rsid w:val="00451D9D"/>
    <w:rsid w:val="004567B4"/>
    <w:rsid w:val="0046028E"/>
    <w:rsid w:val="00460E63"/>
    <w:rsid w:val="004623CC"/>
    <w:rsid w:val="0047755A"/>
    <w:rsid w:val="00492E5F"/>
    <w:rsid w:val="00496500"/>
    <w:rsid w:val="004A4331"/>
    <w:rsid w:val="004B1375"/>
    <w:rsid w:val="004B2162"/>
    <w:rsid w:val="004B62DA"/>
    <w:rsid w:val="004C4F5C"/>
    <w:rsid w:val="004D7551"/>
    <w:rsid w:val="004E7B5B"/>
    <w:rsid w:val="004F1A65"/>
    <w:rsid w:val="004F6974"/>
    <w:rsid w:val="005049EF"/>
    <w:rsid w:val="00506943"/>
    <w:rsid w:val="005070C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5E351A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6F740A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C34BF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27E00"/>
    <w:rsid w:val="00837F58"/>
    <w:rsid w:val="00846939"/>
    <w:rsid w:val="008507F5"/>
    <w:rsid w:val="008601E6"/>
    <w:rsid w:val="008628E3"/>
    <w:rsid w:val="008641AA"/>
    <w:rsid w:val="00871D9B"/>
    <w:rsid w:val="00876A90"/>
    <w:rsid w:val="00884398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12136"/>
    <w:rsid w:val="00920800"/>
    <w:rsid w:val="00923085"/>
    <w:rsid w:val="0094338F"/>
    <w:rsid w:val="009458A5"/>
    <w:rsid w:val="0095460A"/>
    <w:rsid w:val="00957604"/>
    <w:rsid w:val="00957B35"/>
    <w:rsid w:val="0096287C"/>
    <w:rsid w:val="00973C0C"/>
    <w:rsid w:val="009848E9"/>
    <w:rsid w:val="0098491E"/>
    <w:rsid w:val="00987665"/>
    <w:rsid w:val="00994A17"/>
    <w:rsid w:val="009952AE"/>
    <w:rsid w:val="009A1F6C"/>
    <w:rsid w:val="009A57C6"/>
    <w:rsid w:val="009B56CF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A5219"/>
    <w:rsid w:val="00AB2185"/>
    <w:rsid w:val="00AB63A1"/>
    <w:rsid w:val="00AC20C6"/>
    <w:rsid w:val="00AC4073"/>
    <w:rsid w:val="00AC534B"/>
    <w:rsid w:val="00AD4385"/>
    <w:rsid w:val="00AE2923"/>
    <w:rsid w:val="00AE29DE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03C5"/>
    <w:rsid w:val="00B3251C"/>
    <w:rsid w:val="00B518E2"/>
    <w:rsid w:val="00B532CE"/>
    <w:rsid w:val="00B55006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E4865"/>
    <w:rsid w:val="00CF186B"/>
    <w:rsid w:val="00CF61AA"/>
    <w:rsid w:val="00CF775F"/>
    <w:rsid w:val="00D02198"/>
    <w:rsid w:val="00D1289C"/>
    <w:rsid w:val="00D145DE"/>
    <w:rsid w:val="00D1556D"/>
    <w:rsid w:val="00D167D2"/>
    <w:rsid w:val="00D17959"/>
    <w:rsid w:val="00D36BB2"/>
    <w:rsid w:val="00D5043F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519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1261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rasne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2023-05-16T13:03:00Z</dcterms:created>
  <dcterms:modified xsi:type="dcterms:W3CDTF">2023-05-16T13:03:00Z</dcterms:modified>
</cp:coreProperties>
</file>