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A18B9" w:rsidRPr="002E3808" w14:paraId="24863E00" w14:textId="77777777" w:rsidTr="003E7754">
        <w:tc>
          <w:tcPr>
            <w:tcW w:w="9072" w:type="dxa"/>
            <w:shd w:val="clear" w:color="auto" w:fill="auto"/>
          </w:tcPr>
          <w:p w14:paraId="18162496" w14:textId="1E9579CC" w:rsidR="00DA18B9" w:rsidRPr="002E3808" w:rsidRDefault="00DA18B9" w:rsidP="0065402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 w:rsidRPr="002E3808">
              <w:rPr>
                <w:rFonts w:cs="Arial"/>
                <w:b/>
                <w:bCs/>
                <w:color w:val="000000"/>
                <w:szCs w:val="24"/>
              </w:rPr>
              <w:t>NORMA DE PROCEDIMENT</w:t>
            </w:r>
            <w:r w:rsidRPr="00832C1F">
              <w:rPr>
                <w:rFonts w:cs="Arial"/>
                <w:b/>
                <w:bCs/>
                <w:color w:val="000000" w:themeColor="text1"/>
                <w:szCs w:val="24"/>
              </w:rPr>
              <w:t xml:space="preserve">O – </w:t>
            </w:r>
            <w:r w:rsidR="00EF1D9F">
              <w:rPr>
                <w:rFonts w:cs="Arial"/>
                <w:b/>
                <w:bCs/>
                <w:color w:val="000000" w:themeColor="text1"/>
                <w:szCs w:val="24"/>
              </w:rPr>
              <w:t xml:space="preserve">SCL </w:t>
            </w:r>
            <w:r w:rsidR="00E61AF8">
              <w:rPr>
                <w:rFonts w:cs="Arial"/>
                <w:b/>
                <w:bCs/>
                <w:color w:val="000000" w:themeColor="text1"/>
                <w:szCs w:val="24"/>
              </w:rPr>
              <w:t>N</w:t>
            </w:r>
            <w:r w:rsidR="00D55D5C">
              <w:rPr>
                <w:rFonts w:cs="Arial"/>
                <w:b/>
                <w:bCs/>
                <w:color w:val="000000" w:themeColor="text1"/>
                <w:szCs w:val="24"/>
              </w:rPr>
              <w:t>º</w:t>
            </w:r>
            <w:r w:rsidR="00EF1D9F">
              <w:rPr>
                <w:rFonts w:cs="Arial"/>
                <w:b/>
                <w:bCs/>
                <w:color w:val="000000" w:themeColor="text1"/>
                <w:szCs w:val="24"/>
              </w:rPr>
              <w:t xml:space="preserve"> </w:t>
            </w:r>
            <w:r w:rsidR="00654027">
              <w:rPr>
                <w:rFonts w:cs="Arial"/>
                <w:b/>
                <w:bCs/>
                <w:color w:val="000000" w:themeColor="text1"/>
                <w:szCs w:val="24"/>
              </w:rPr>
              <w:t>020</w:t>
            </w:r>
          </w:p>
        </w:tc>
      </w:tr>
    </w:tbl>
    <w:p w14:paraId="4D053F9F" w14:textId="77777777" w:rsidR="00DA18B9" w:rsidRPr="002E3808" w:rsidRDefault="00DA18B9" w:rsidP="00375BE2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423"/>
        <w:gridCol w:w="2551"/>
      </w:tblGrid>
      <w:tr w:rsidR="00DA18B9" w:rsidRPr="002E3808" w14:paraId="122E5B9D" w14:textId="77777777" w:rsidTr="003E7754">
        <w:tc>
          <w:tcPr>
            <w:tcW w:w="1531" w:type="dxa"/>
            <w:vAlign w:val="center"/>
          </w:tcPr>
          <w:p w14:paraId="5D668463" w14:textId="77777777" w:rsidR="00DA18B9" w:rsidRPr="002E3808" w:rsidRDefault="00DA18B9" w:rsidP="00375BE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40F1AAB3" w14:textId="42DF40F3" w:rsidR="00DA18B9" w:rsidRPr="001F3DB7" w:rsidRDefault="00CD0DDF" w:rsidP="00676DCD">
            <w:pPr>
              <w:widowControl w:val="0"/>
              <w:autoSpaceDE w:val="0"/>
              <w:autoSpaceDN w:val="0"/>
              <w:adjustRightInd w:val="0"/>
              <w:spacing w:before="0" w:after="0"/>
              <w:ind w:right="-221"/>
              <w:rPr>
                <w:rFonts w:cs="Arial"/>
                <w:bCs/>
                <w:color w:val="000000" w:themeColor="text1"/>
                <w:szCs w:val="24"/>
              </w:rPr>
            </w:pPr>
            <w:r w:rsidRPr="002B7A73">
              <w:rPr>
                <w:rFonts w:cs="Arial"/>
                <w:bCs/>
                <w:szCs w:val="24"/>
              </w:rPr>
              <w:t xml:space="preserve">Aplicação de </w:t>
            </w:r>
            <w:r w:rsidR="00676DCD">
              <w:rPr>
                <w:rFonts w:cs="Arial"/>
                <w:bCs/>
                <w:szCs w:val="24"/>
              </w:rPr>
              <w:t>S</w:t>
            </w:r>
            <w:r w:rsidRPr="002B7A73">
              <w:rPr>
                <w:rFonts w:cs="Arial"/>
                <w:bCs/>
                <w:szCs w:val="24"/>
              </w:rPr>
              <w:t xml:space="preserve">anções </w:t>
            </w:r>
            <w:r w:rsidR="00676DCD">
              <w:rPr>
                <w:rFonts w:cs="Arial"/>
                <w:bCs/>
                <w:szCs w:val="24"/>
              </w:rPr>
              <w:t>A</w:t>
            </w:r>
            <w:r w:rsidRPr="002B7A73">
              <w:rPr>
                <w:rFonts w:cs="Arial"/>
                <w:bCs/>
                <w:szCs w:val="24"/>
              </w:rPr>
              <w:t>dministrativas</w:t>
            </w:r>
          </w:p>
        </w:tc>
      </w:tr>
      <w:tr w:rsidR="00DA18B9" w:rsidRPr="002E3808" w14:paraId="711051D3" w14:textId="77777777" w:rsidTr="003E7754">
        <w:tc>
          <w:tcPr>
            <w:tcW w:w="1531" w:type="dxa"/>
            <w:vAlign w:val="center"/>
          </w:tcPr>
          <w:p w14:paraId="177D4D8F" w14:textId="77777777" w:rsidR="00DA18B9" w:rsidRPr="002E3808" w:rsidRDefault="00DA18B9" w:rsidP="00375BE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3D153147" w14:textId="77777777" w:rsidR="00DA18B9" w:rsidRPr="00832C1F" w:rsidRDefault="00DA18B9" w:rsidP="00375BE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color w:val="000000"/>
                <w:szCs w:val="24"/>
              </w:rPr>
              <w:t xml:space="preserve">Secretaria de Estado de Gestão e Recursos </w:t>
            </w:r>
            <w:r w:rsidRPr="00832C1F">
              <w:rPr>
                <w:rFonts w:cs="Arial"/>
                <w:bCs/>
                <w:szCs w:val="24"/>
              </w:rPr>
              <w:t>Humanos – SEGER</w:t>
            </w:r>
          </w:p>
        </w:tc>
      </w:tr>
      <w:tr w:rsidR="00DA18B9" w:rsidRPr="002E3808" w14:paraId="2AC6022A" w14:textId="77777777" w:rsidTr="00CD0DDF">
        <w:tc>
          <w:tcPr>
            <w:tcW w:w="1531" w:type="dxa"/>
            <w:vAlign w:val="center"/>
          </w:tcPr>
          <w:p w14:paraId="1A1FEE1C" w14:textId="77777777" w:rsidR="00DA18B9" w:rsidRPr="002E3808" w:rsidRDefault="00DA18B9" w:rsidP="00375BE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Sistema:</w:t>
            </w:r>
          </w:p>
        </w:tc>
        <w:tc>
          <w:tcPr>
            <w:tcW w:w="4990" w:type="dxa"/>
            <w:gridSpan w:val="2"/>
            <w:vAlign w:val="center"/>
          </w:tcPr>
          <w:p w14:paraId="55FE75B9" w14:textId="3EC59AAD" w:rsidR="00DA18B9" w:rsidRPr="00832C1F" w:rsidRDefault="00DA18B9" w:rsidP="00375BE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szCs w:val="24"/>
              </w:rPr>
              <w:t xml:space="preserve">Sistema de </w:t>
            </w:r>
            <w:r w:rsidR="007C6321">
              <w:rPr>
                <w:rFonts w:cs="Arial"/>
                <w:bCs/>
                <w:szCs w:val="24"/>
              </w:rPr>
              <w:t xml:space="preserve">Compras, </w:t>
            </w:r>
            <w:r w:rsidR="00552011">
              <w:rPr>
                <w:rFonts w:cs="Arial"/>
                <w:bCs/>
                <w:szCs w:val="24"/>
              </w:rPr>
              <w:t>Licitações e Contratos</w:t>
            </w:r>
          </w:p>
        </w:tc>
        <w:tc>
          <w:tcPr>
            <w:tcW w:w="2551" w:type="dxa"/>
            <w:vAlign w:val="center"/>
          </w:tcPr>
          <w:p w14:paraId="1DF713F9" w14:textId="77777777" w:rsidR="00DA18B9" w:rsidRPr="00832C1F" w:rsidRDefault="00DA18B9" w:rsidP="00375BE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/>
                <w:bCs/>
                <w:color w:val="000000"/>
                <w:szCs w:val="24"/>
              </w:rPr>
              <w:t xml:space="preserve">Código: </w:t>
            </w:r>
            <w:r w:rsidRPr="00832C1F">
              <w:rPr>
                <w:rFonts w:cs="Arial"/>
                <w:bCs/>
                <w:szCs w:val="24"/>
              </w:rPr>
              <w:t>S</w:t>
            </w:r>
            <w:r w:rsidR="005E50EF">
              <w:rPr>
                <w:rFonts w:cs="Arial"/>
                <w:bCs/>
                <w:szCs w:val="24"/>
              </w:rPr>
              <w:t>CL</w:t>
            </w:r>
          </w:p>
        </w:tc>
      </w:tr>
      <w:tr w:rsidR="00CD0DDF" w:rsidRPr="000C6CDC" w14:paraId="5864FD43" w14:textId="77777777" w:rsidTr="00CD0DDF">
        <w:tc>
          <w:tcPr>
            <w:tcW w:w="1531" w:type="dxa"/>
            <w:vAlign w:val="center"/>
          </w:tcPr>
          <w:p w14:paraId="094DBC69" w14:textId="77777777" w:rsidR="00CD0DDF" w:rsidRPr="00524856" w:rsidRDefault="00CD0DDF" w:rsidP="00CD0DD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524856">
              <w:rPr>
                <w:rFonts w:cs="Arial"/>
                <w:b/>
                <w:bCs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0641AFA3" w14:textId="77777777" w:rsidR="00CD0DDF" w:rsidRPr="002B7A73" w:rsidRDefault="00CD0DDF" w:rsidP="00CD0DD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2B7A73">
              <w:rPr>
                <w:rFonts w:cs="Arial"/>
                <w:bCs/>
                <w:szCs w:val="24"/>
              </w:rPr>
              <w:t>0</w:t>
            </w:r>
            <w:r>
              <w:rPr>
                <w:rFonts w:cs="Arial"/>
                <w:bCs/>
                <w:szCs w:val="24"/>
              </w:rPr>
              <w:t>1</w:t>
            </w:r>
          </w:p>
        </w:tc>
        <w:tc>
          <w:tcPr>
            <w:tcW w:w="4423" w:type="dxa"/>
            <w:vAlign w:val="center"/>
          </w:tcPr>
          <w:p w14:paraId="20FBA921" w14:textId="326B786F" w:rsidR="00CD0DDF" w:rsidRPr="002B7A73" w:rsidRDefault="00CD0DDF" w:rsidP="00767D68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Cs/>
                <w:szCs w:val="24"/>
              </w:rPr>
            </w:pPr>
            <w:r w:rsidRPr="002B7A73">
              <w:rPr>
                <w:rFonts w:cs="Arial"/>
                <w:b/>
                <w:bCs/>
                <w:szCs w:val="24"/>
              </w:rPr>
              <w:t xml:space="preserve">Aprovação: </w:t>
            </w:r>
            <w:r w:rsidRPr="002B7A73">
              <w:rPr>
                <w:rFonts w:cs="Arial"/>
                <w:bCs/>
                <w:szCs w:val="24"/>
              </w:rPr>
              <w:t xml:space="preserve">Portaria n.º </w:t>
            </w:r>
            <w:r w:rsidR="00767D68">
              <w:rPr>
                <w:rFonts w:cs="Arial"/>
                <w:bCs/>
                <w:szCs w:val="24"/>
              </w:rPr>
              <w:t>04</w:t>
            </w:r>
            <w:r w:rsidRPr="002B7A73">
              <w:rPr>
                <w:rFonts w:cs="Arial"/>
                <w:bCs/>
                <w:szCs w:val="24"/>
              </w:rPr>
              <w:t>-R/201</w:t>
            </w:r>
            <w:r>
              <w:rPr>
                <w:rFonts w:cs="Arial"/>
                <w:bCs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14:paraId="71941134" w14:textId="0E444AC5" w:rsidR="00CD0DDF" w:rsidRPr="002B7A73" w:rsidRDefault="00CD0DDF" w:rsidP="00767D6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2B7A73">
              <w:rPr>
                <w:rFonts w:cs="Arial"/>
                <w:b/>
                <w:bCs/>
                <w:szCs w:val="24"/>
              </w:rPr>
              <w:t>V</w:t>
            </w:r>
            <w:r w:rsidR="00767D68">
              <w:rPr>
                <w:rFonts w:cs="Arial"/>
                <w:b/>
                <w:bCs/>
                <w:szCs w:val="24"/>
              </w:rPr>
              <w:t xml:space="preserve">igência: </w:t>
            </w:r>
            <w:r w:rsidR="00767D68">
              <w:rPr>
                <w:rFonts w:cs="Arial"/>
                <w:bCs/>
                <w:szCs w:val="24"/>
              </w:rPr>
              <w:t>29/</w:t>
            </w:r>
            <w:r w:rsidRPr="002B7A73">
              <w:rPr>
                <w:rFonts w:cs="Arial"/>
                <w:bCs/>
                <w:szCs w:val="24"/>
              </w:rPr>
              <w:t>0</w:t>
            </w:r>
            <w:r>
              <w:rPr>
                <w:rFonts w:cs="Arial"/>
                <w:bCs/>
                <w:szCs w:val="24"/>
              </w:rPr>
              <w:t>3</w:t>
            </w:r>
            <w:r w:rsidRPr="002B7A73">
              <w:rPr>
                <w:rFonts w:cs="Arial"/>
                <w:bCs/>
                <w:szCs w:val="24"/>
              </w:rPr>
              <w:t>/201</w:t>
            </w:r>
            <w:r>
              <w:rPr>
                <w:rFonts w:cs="Arial"/>
                <w:bCs/>
                <w:szCs w:val="24"/>
              </w:rPr>
              <w:t>9</w:t>
            </w:r>
          </w:p>
        </w:tc>
      </w:tr>
    </w:tbl>
    <w:p w14:paraId="3554D978" w14:textId="77777777" w:rsidR="00417774" w:rsidRDefault="00DF144B" w:rsidP="00EF34DE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>
        <w:t>OBJETIVOS</w:t>
      </w:r>
    </w:p>
    <w:p w14:paraId="13279A2D" w14:textId="64333711" w:rsidR="00B6610C" w:rsidRPr="00BA3B32" w:rsidRDefault="00CD0DDF" w:rsidP="00EF34DE">
      <w:pPr>
        <w:pStyle w:val="Ttulo1"/>
        <w:widowControl w:val="0"/>
        <w:numPr>
          <w:ilvl w:val="0"/>
          <w:numId w:val="4"/>
        </w:numPr>
        <w:spacing w:before="240"/>
        <w:ind w:left="567" w:hanging="567"/>
        <w:rPr>
          <w:b w:val="0"/>
        </w:rPr>
      </w:pPr>
      <w:r w:rsidRPr="00CD0DDF">
        <w:rPr>
          <w:b w:val="0"/>
        </w:rPr>
        <w:t xml:space="preserve">Padronizar o procedimento para instrução </w:t>
      </w:r>
      <w:r w:rsidRPr="00BA3B32">
        <w:rPr>
          <w:b w:val="0"/>
        </w:rPr>
        <w:t>dos processos de apuração, aplicação e confirmação de sanções administrativas</w:t>
      </w:r>
      <w:r w:rsidR="00B6610C" w:rsidRPr="00BA3B32">
        <w:rPr>
          <w:b w:val="0"/>
        </w:rPr>
        <w:t>.</w:t>
      </w:r>
    </w:p>
    <w:p w14:paraId="7152720F" w14:textId="77777777" w:rsidR="004B576D" w:rsidRPr="004B576D" w:rsidRDefault="00DF144B" w:rsidP="00EF34DE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>
        <w:t>ABRANGÊNCIA</w:t>
      </w:r>
    </w:p>
    <w:p w14:paraId="02EE8EC2" w14:textId="77777777" w:rsidR="00B6610C" w:rsidRPr="004B576D" w:rsidRDefault="00DF144B" w:rsidP="00EF34DE">
      <w:pPr>
        <w:pStyle w:val="Ttulo1"/>
        <w:widowControl w:val="0"/>
        <w:numPr>
          <w:ilvl w:val="0"/>
          <w:numId w:val="5"/>
        </w:numPr>
        <w:spacing w:before="240"/>
        <w:ind w:left="567" w:hanging="567"/>
        <w:rPr>
          <w:b w:val="0"/>
        </w:rPr>
      </w:pPr>
      <w:r w:rsidRPr="004B576D">
        <w:rPr>
          <w:b w:val="0"/>
        </w:rPr>
        <w:t>Órgãos da Administração Direta e entidades da Administração Indireta do Poder Executivo Estadual, exceto as em</w:t>
      </w:r>
      <w:r w:rsidR="00A13836">
        <w:rPr>
          <w:b w:val="0"/>
        </w:rPr>
        <w:t>presas públicas e as sociedades de</w:t>
      </w:r>
      <w:r w:rsidRPr="00E97437">
        <w:rPr>
          <w:b w:val="0"/>
          <w:color w:val="FF0000"/>
        </w:rPr>
        <w:t xml:space="preserve"> </w:t>
      </w:r>
      <w:r w:rsidRPr="004B576D">
        <w:rPr>
          <w:b w:val="0"/>
        </w:rPr>
        <w:t>economia mista</w:t>
      </w:r>
      <w:r w:rsidR="00B6610C" w:rsidRPr="004B576D">
        <w:rPr>
          <w:b w:val="0"/>
        </w:rPr>
        <w:t>.</w:t>
      </w:r>
    </w:p>
    <w:p w14:paraId="14E74BC5" w14:textId="77777777" w:rsidR="004B576D" w:rsidRPr="004B576D" w:rsidRDefault="00DF144B" w:rsidP="00EF34DE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>
        <w:t>FUNDAMENTAÇÃO LEGAL</w:t>
      </w:r>
    </w:p>
    <w:p w14:paraId="08528D41" w14:textId="77777777" w:rsidR="004B576D" w:rsidRPr="00DC1A06" w:rsidRDefault="00DF144B" w:rsidP="00EF34DE">
      <w:pPr>
        <w:pStyle w:val="N11"/>
        <w:widowControl w:val="0"/>
        <w:numPr>
          <w:ilvl w:val="0"/>
          <w:numId w:val="6"/>
        </w:numPr>
        <w:ind w:left="567" w:hanging="567"/>
      </w:pPr>
      <w:r w:rsidRPr="00DC1A06">
        <w:rPr>
          <w:b/>
        </w:rPr>
        <w:t>L</w:t>
      </w:r>
      <w:r w:rsidR="00A13836" w:rsidRPr="00DC1A06">
        <w:rPr>
          <w:b/>
        </w:rPr>
        <w:t xml:space="preserve">ei Federal </w:t>
      </w:r>
      <w:r w:rsidR="00D55D5C" w:rsidRPr="00DC1A06">
        <w:rPr>
          <w:b/>
        </w:rPr>
        <w:t>n.º</w:t>
      </w:r>
      <w:r w:rsidR="00A13836" w:rsidRPr="00DC1A06">
        <w:rPr>
          <w:b/>
        </w:rPr>
        <w:t xml:space="preserve"> 8.666</w:t>
      </w:r>
      <w:r w:rsidR="00A13836" w:rsidRPr="00DC1A06">
        <w:t>, de 21/06/199</w:t>
      </w:r>
      <w:r w:rsidR="00F579B7" w:rsidRPr="00DC1A06">
        <w:t>3</w:t>
      </w:r>
      <w:r w:rsidR="00A13836" w:rsidRPr="00DC1A06">
        <w:t xml:space="preserve"> </w:t>
      </w:r>
      <w:r w:rsidR="001C28DE" w:rsidRPr="00DC1A06">
        <w:t xml:space="preserve">– </w:t>
      </w:r>
      <w:r w:rsidRPr="00DC1A06">
        <w:t>Regulamenta o art. 37, inciso XXI, da Constituição Federal e institui normas para licitações e con</w:t>
      </w:r>
      <w:r w:rsidR="001C28DE" w:rsidRPr="00DC1A06">
        <w:t>tratos da Administração Pública.</w:t>
      </w:r>
    </w:p>
    <w:p w14:paraId="6201A212" w14:textId="77777777" w:rsidR="004B576D" w:rsidRPr="00DC1A06" w:rsidRDefault="00DF144B" w:rsidP="00EF34DE">
      <w:pPr>
        <w:pStyle w:val="N11"/>
        <w:widowControl w:val="0"/>
        <w:numPr>
          <w:ilvl w:val="0"/>
          <w:numId w:val="6"/>
        </w:numPr>
        <w:ind w:left="567" w:hanging="567"/>
      </w:pPr>
      <w:r w:rsidRPr="00DC1A06">
        <w:rPr>
          <w:b/>
        </w:rPr>
        <w:t xml:space="preserve">Lei Federal </w:t>
      </w:r>
      <w:r w:rsidR="00D55D5C" w:rsidRPr="00DC1A06">
        <w:rPr>
          <w:b/>
        </w:rPr>
        <w:t>n.º</w:t>
      </w:r>
      <w:r w:rsidR="001C28DE" w:rsidRPr="00DC1A06">
        <w:rPr>
          <w:b/>
        </w:rPr>
        <w:t xml:space="preserve"> </w:t>
      </w:r>
      <w:r w:rsidRPr="00DC1A06">
        <w:rPr>
          <w:b/>
        </w:rPr>
        <w:t>10.520</w:t>
      </w:r>
      <w:r w:rsidR="00A13836" w:rsidRPr="00DC1A06">
        <w:t>, de 17/07/2002</w:t>
      </w:r>
      <w:r w:rsidR="001C28DE" w:rsidRPr="00DC1A06">
        <w:t xml:space="preserve"> – </w:t>
      </w:r>
      <w:r w:rsidRPr="00DC1A06">
        <w:t>Institui, nos termos do art. 37, inciso XXI, da Constituição Federal, modalidade de licitação denominada pregão, para aquis</w:t>
      </w:r>
      <w:r w:rsidR="001C28DE" w:rsidRPr="00DC1A06">
        <w:t>ição de bens e serviços comuns.</w:t>
      </w:r>
    </w:p>
    <w:p w14:paraId="73B373DD" w14:textId="77777777" w:rsidR="004B576D" w:rsidRPr="00DC1A06" w:rsidRDefault="00DF144B" w:rsidP="00EF34DE">
      <w:pPr>
        <w:pStyle w:val="N11"/>
        <w:widowControl w:val="0"/>
        <w:numPr>
          <w:ilvl w:val="0"/>
          <w:numId w:val="6"/>
        </w:numPr>
        <w:ind w:left="567" w:hanging="567"/>
      </w:pPr>
      <w:r w:rsidRPr="00DC1A06">
        <w:rPr>
          <w:b/>
        </w:rPr>
        <w:t>D</w:t>
      </w:r>
      <w:r w:rsidR="00D56657" w:rsidRPr="00DC1A06">
        <w:rPr>
          <w:b/>
        </w:rPr>
        <w:t>ec</w:t>
      </w:r>
      <w:r w:rsidR="00A13836" w:rsidRPr="00DC1A06">
        <w:rPr>
          <w:b/>
        </w:rPr>
        <w:t xml:space="preserve">reto Estadual </w:t>
      </w:r>
      <w:r w:rsidR="00D55D5C" w:rsidRPr="00DC1A06">
        <w:rPr>
          <w:b/>
        </w:rPr>
        <w:t>n.º</w:t>
      </w:r>
      <w:r w:rsidR="00A13836" w:rsidRPr="00DC1A06">
        <w:rPr>
          <w:b/>
        </w:rPr>
        <w:t xml:space="preserve"> 2.340-R</w:t>
      </w:r>
      <w:r w:rsidR="00A13836" w:rsidRPr="00DC1A06">
        <w:t xml:space="preserve">, de 26/08/2009 </w:t>
      </w:r>
      <w:r w:rsidR="00D56657" w:rsidRPr="00DC1A06">
        <w:t xml:space="preserve">– </w:t>
      </w:r>
      <w:r w:rsidRPr="00DC1A06">
        <w:t xml:space="preserve">Institui o Sistema Integrado </w:t>
      </w:r>
      <w:r w:rsidR="00692BB5" w:rsidRPr="00DC1A06">
        <w:t>de Gestão Administrativa – SIGA</w:t>
      </w:r>
      <w:r w:rsidRPr="00DC1A06">
        <w:t>.</w:t>
      </w:r>
    </w:p>
    <w:p w14:paraId="4670D1A2" w14:textId="77777777" w:rsidR="00D56657" w:rsidRPr="00DC1A06" w:rsidRDefault="009E4C61" w:rsidP="00EF34DE">
      <w:pPr>
        <w:pStyle w:val="N11"/>
        <w:widowControl w:val="0"/>
        <w:numPr>
          <w:ilvl w:val="0"/>
          <w:numId w:val="6"/>
        </w:numPr>
        <w:ind w:left="567" w:hanging="567"/>
      </w:pPr>
      <w:r w:rsidRPr="000E09F9">
        <w:rPr>
          <w:b/>
        </w:rPr>
        <w:t>Decreto Estadual n.º 3.956-R</w:t>
      </w:r>
      <w:r w:rsidRPr="000E09F9">
        <w:t xml:space="preserve">, de 30/03/2016 – </w:t>
      </w:r>
      <w:r w:rsidRPr="000E09F9">
        <w:rPr>
          <w:rFonts w:cs="Arial"/>
          <w:iCs/>
          <w:szCs w:val="24"/>
        </w:rPr>
        <w:t>Regulamenta, no âmbito do Poder Executivo Estadual, a Lei Federal n</w:t>
      </w:r>
      <w:r>
        <w:rPr>
          <w:rFonts w:cs="Arial"/>
          <w:iCs/>
          <w:szCs w:val="24"/>
        </w:rPr>
        <w:t>.</w:t>
      </w:r>
      <w:r w:rsidRPr="000E09F9">
        <w:rPr>
          <w:rFonts w:cs="Arial"/>
          <w:iCs/>
          <w:szCs w:val="24"/>
        </w:rPr>
        <w:t>º 12.846, de 01</w:t>
      </w:r>
      <w:r>
        <w:rPr>
          <w:rFonts w:cs="Arial"/>
          <w:iCs/>
          <w:szCs w:val="24"/>
        </w:rPr>
        <w:t>/</w:t>
      </w:r>
      <w:r w:rsidRPr="000E09F9">
        <w:rPr>
          <w:rFonts w:cs="Arial"/>
          <w:iCs/>
          <w:szCs w:val="24"/>
        </w:rPr>
        <w:t>08</w:t>
      </w:r>
      <w:r>
        <w:rPr>
          <w:rFonts w:cs="Arial"/>
          <w:iCs/>
          <w:szCs w:val="24"/>
        </w:rPr>
        <w:t>/</w:t>
      </w:r>
      <w:r w:rsidRPr="000E09F9">
        <w:rPr>
          <w:rFonts w:cs="Arial"/>
          <w:iCs/>
          <w:szCs w:val="24"/>
        </w:rPr>
        <w:t>2013, que dispõe sobre a responsabilização administrativa e civil de pessoas jurídicas pela prática de atos contra a Administração Pública</w:t>
      </w:r>
      <w:r w:rsidR="00C14D4A" w:rsidRPr="00DC1A06">
        <w:t>.</w:t>
      </w:r>
    </w:p>
    <w:p w14:paraId="71270080" w14:textId="77777777" w:rsidR="004B576D" w:rsidRPr="00DC1A06" w:rsidRDefault="00C04EA6" w:rsidP="00EF34DE">
      <w:pPr>
        <w:pStyle w:val="N11"/>
        <w:widowControl w:val="0"/>
        <w:numPr>
          <w:ilvl w:val="0"/>
          <w:numId w:val="6"/>
        </w:numPr>
        <w:ind w:left="567" w:hanging="567"/>
      </w:pPr>
      <w:r w:rsidRPr="000E09F9">
        <w:rPr>
          <w:b/>
        </w:rPr>
        <w:t>Portaria SEGER/PGE/SECONT n.º 049-R</w:t>
      </w:r>
      <w:r w:rsidRPr="000E09F9">
        <w:t xml:space="preserve">, de 24/08/2010 – </w:t>
      </w:r>
      <w:r w:rsidRPr="000E09F9">
        <w:rPr>
          <w:rFonts w:cs="Arial"/>
          <w:bCs/>
          <w:iCs/>
          <w:szCs w:val="24"/>
        </w:rPr>
        <w:t>Dispõe sobre normas e procedimentos relativos à gestão de Contratos Administrativos no âmbito da Administração Pública Estadual</w:t>
      </w:r>
      <w:r w:rsidR="00DF144B" w:rsidRPr="00DC1A06">
        <w:t>.</w:t>
      </w:r>
    </w:p>
    <w:p w14:paraId="004B27BD" w14:textId="77777777" w:rsidR="001C1DAC" w:rsidRPr="000813FD" w:rsidRDefault="00C04EA6" w:rsidP="00EF34DE">
      <w:pPr>
        <w:pStyle w:val="N11"/>
        <w:widowControl w:val="0"/>
        <w:numPr>
          <w:ilvl w:val="0"/>
          <w:numId w:val="6"/>
        </w:numPr>
        <w:ind w:left="567" w:hanging="567"/>
      </w:pPr>
      <w:r w:rsidRPr="00F60060">
        <w:rPr>
          <w:b/>
        </w:rPr>
        <w:t>Acórdão CPGE n.º 002</w:t>
      </w:r>
      <w:r w:rsidRPr="00F60060">
        <w:t xml:space="preserve">, de 19/06/2015 - </w:t>
      </w:r>
      <w:r w:rsidRPr="00F60060">
        <w:rPr>
          <w:rFonts w:cs="Arial"/>
          <w:szCs w:val="24"/>
        </w:rPr>
        <w:t>Efeitos da aplicação da penalidade de suspensão temporária do artigo 87, III, da Lei n.º 8.666/93 e extensão a toda a Administração Pública e não somente ao Órgão ou Ente Federativo que aplicou a sanção</w:t>
      </w:r>
      <w:r w:rsidR="00DF144B" w:rsidRPr="000813FD">
        <w:t>.</w:t>
      </w:r>
    </w:p>
    <w:p w14:paraId="5E402D3D" w14:textId="77777777" w:rsidR="00B6610C" w:rsidRPr="00783D2C" w:rsidRDefault="00C04EA6" w:rsidP="00EF34DE">
      <w:pPr>
        <w:pStyle w:val="N11"/>
        <w:widowControl w:val="0"/>
        <w:numPr>
          <w:ilvl w:val="0"/>
          <w:numId w:val="6"/>
        </w:numPr>
        <w:ind w:left="567" w:hanging="567"/>
      </w:pPr>
      <w:r w:rsidRPr="00C04EA6">
        <w:rPr>
          <w:b/>
        </w:rPr>
        <w:t>Acórdão CPGE n.º 006</w:t>
      </w:r>
      <w:r w:rsidRPr="00F60060">
        <w:t xml:space="preserve">, de 29/11/2018 - </w:t>
      </w:r>
      <w:r w:rsidRPr="00C04EA6">
        <w:rPr>
          <w:rFonts w:cs="Arial"/>
          <w:szCs w:val="24"/>
        </w:rPr>
        <w:t>Extensão dos efeitos das penalidades de suspensão temporária, do artigo 87, III, da Lei Federal n.º 8.666/93 e de impedimento de licitar e contratar, do artigo 7º, da Lei Federal n.º 10.520/2002 com a Administração Pública. Acórdão CPGE n.º 02/2015. Divergência jurisprudencial e administrativa. Limites da atuação da Administração Estadual. Orientações</w:t>
      </w:r>
      <w:r w:rsidR="00DF144B" w:rsidRPr="00A664BD">
        <w:t>.</w:t>
      </w:r>
    </w:p>
    <w:p w14:paraId="5F14641D" w14:textId="77777777" w:rsidR="007D1D75" w:rsidRPr="007D1D75" w:rsidRDefault="00B6610C" w:rsidP="00EF34DE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F160DF">
        <w:lastRenderedPageBreak/>
        <w:t>D</w:t>
      </w:r>
      <w:r w:rsidR="00F15742">
        <w:t>EFINIÇÕES</w:t>
      </w:r>
    </w:p>
    <w:p w14:paraId="2C51846D" w14:textId="192F18AF" w:rsidR="007C1418" w:rsidRPr="00B902A2" w:rsidRDefault="001E3A50" w:rsidP="0055201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color w:val="000000" w:themeColor="text1"/>
        </w:rPr>
      </w:pPr>
      <w:r>
        <w:rPr>
          <w:color w:val="000000" w:themeColor="text1"/>
        </w:rPr>
        <w:t>Conduta I</w:t>
      </w:r>
      <w:r w:rsidR="004421AD" w:rsidRPr="00B902A2">
        <w:rPr>
          <w:color w:val="000000" w:themeColor="text1"/>
        </w:rPr>
        <w:t xml:space="preserve">rregular </w:t>
      </w:r>
      <w:r w:rsidR="004421AD" w:rsidRPr="00B902A2">
        <w:rPr>
          <w:b w:val="0"/>
          <w:color w:val="000000" w:themeColor="text1"/>
        </w:rPr>
        <w:t>- Ação ou omissão do licitante ou contratado que viola norma de nat</w:t>
      </w:r>
      <w:r w:rsidR="00B902A2" w:rsidRPr="00B902A2">
        <w:rPr>
          <w:b w:val="0"/>
          <w:color w:val="000000" w:themeColor="text1"/>
        </w:rPr>
        <w:t>ureza licitatória ou contratual.</w:t>
      </w:r>
    </w:p>
    <w:p w14:paraId="4E5225E9" w14:textId="77777777" w:rsidR="00F950C7" w:rsidRPr="002B0AE7" w:rsidRDefault="00CF10DD" w:rsidP="0055201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</w:rPr>
      </w:pPr>
      <w:r>
        <w:t>Sanção Administrativa</w:t>
      </w:r>
      <w:r w:rsidR="00F950C7" w:rsidRPr="002B0AE7">
        <w:t xml:space="preserve"> – </w:t>
      </w:r>
      <w:r>
        <w:rPr>
          <w:b w:val="0"/>
        </w:rPr>
        <w:t xml:space="preserve">Penalidade prevista em lei, no Edital, na Ata de Registro de Preços ou no Contrato, aplicada pelo </w:t>
      </w:r>
      <w:r w:rsidRPr="00CF10DD">
        <w:rPr>
          <w:b w:val="0"/>
        </w:rPr>
        <w:t>Órgão ou Entidade da Administração Pública no exercício da função administrativa, como consequência de um fato típico administrativo com a observância dos princípios constitucionais do contraditório e da ampla defesa, garantidos por meio do devido processo legal</w:t>
      </w:r>
      <w:r w:rsidR="00F950C7" w:rsidRPr="002B0AE7">
        <w:rPr>
          <w:b w:val="0"/>
        </w:rPr>
        <w:t>.</w:t>
      </w:r>
    </w:p>
    <w:p w14:paraId="40852D18" w14:textId="321E34E1" w:rsidR="00EF34DE" w:rsidRPr="00EF34DE" w:rsidRDefault="0003448D" w:rsidP="0055201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</w:rPr>
      </w:pPr>
      <w:r>
        <w:t xml:space="preserve">Responsável </w:t>
      </w:r>
      <w:r w:rsidR="001E3A50" w:rsidRPr="001E3A50">
        <w:t>pela A</w:t>
      </w:r>
      <w:r w:rsidRPr="001E3A50">
        <w:t>puração</w:t>
      </w:r>
      <w:r w:rsidR="00F950C7" w:rsidRPr="002B0AE7">
        <w:t xml:space="preserve"> </w:t>
      </w:r>
      <w:r w:rsidR="00F950C7" w:rsidRPr="005A0E64">
        <w:t xml:space="preserve">– </w:t>
      </w:r>
      <w:r w:rsidRPr="0003448D">
        <w:rPr>
          <w:b w:val="0"/>
        </w:rPr>
        <w:t>Servidor designado para instruir todo o processo de apuração e aplicação de sanção administrativa, até a sua finalização</w:t>
      </w:r>
      <w:r w:rsidR="00F950C7">
        <w:rPr>
          <w:b w:val="0"/>
        </w:rPr>
        <w:t>.</w:t>
      </w:r>
    </w:p>
    <w:p w14:paraId="501FB634" w14:textId="0B01B0A7" w:rsidR="007D1D75" w:rsidRPr="001E3A50" w:rsidRDefault="00CC554B" w:rsidP="0055201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  <w:color w:val="000000" w:themeColor="text1"/>
        </w:rPr>
      </w:pPr>
      <w:r w:rsidRPr="00847C62">
        <w:rPr>
          <w:color w:val="000000" w:themeColor="text1"/>
        </w:rPr>
        <w:t xml:space="preserve">Autoridade Competente </w:t>
      </w:r>
      <w:r w:rsidR="009929E1" w:rsidRPr="00847C62">
        <w:rPr>
          <w:color w:val="000000" w:themeColor="text1"/>
        </w:rPr>
        <w:t>–</w:t>
      </w:r>
      <w:r w:rsidR="007D1D75" w:rsidRPr="00847C62">
        <w:rPr>
          <w:color w:val="000000" w:themeColor="text1"/>
        </w:rPr>
        <w:t xml:space="preserve"> </w:t>
      </w:r>
      <w:r w:rsidR="00F15742" w:rsidRPr="00847C62">
        <w:rPr>
          <w:b w:val="0"/>
          <w:color w:val="000000" w:themeColor="text1"/>
        </w:rPr>
        <w:t>A quem compete autorizar a</w:t>
      </w:r>
      <w:r w:rsidR="00543808" w:rsidRPr="00847C62">
        <w:rPr>
          <w:b w:val="0"/>
          <w:color w:val="000000" w:themeColor="text1"/>
        </w:rPr>
        <w:t xml:space="preserve"> instauração de </w:t>
      </w:r>
      <w:r w:rsidR="00543808" w:rsidRPr="001E3A50">
        <w:rPr>
          <w:b w:val="0"/>
          <w:color w:val="000000" w:themeColor="text1"/>
        </w:rPr>
        <w:t>proce</w:t>
      </w:r>
      <w:r w:rsidR="001E3A50" w:rsidRPr="001E3A50">
        <w:rPr>
          <w:b w:val="0"/>
          <w:color w:val="000000" w:themeColor="text1"/>
        </w:rPr>
        <w:t>dimento</w:t>
      </w:r>
      <w:r w:rsidR="00543808" w:rsidRPr="001E3A50">
        <w:rPr>
          <w:b w:val="0"/>
          <w:color w:val="000000" w:themeColor="text1"/>
        </w:rPr>
        <w:t xml:space="preserve"> </w:t>
      </w:r>
      <w:r w:rsidR="00543808" w:rsidRPr="00847C62">
        <w:rPr>
          <w:b w:val="0"/>
          <w:color w:val="000000" w:themeColor="text1"/>
        </w:rPr>
        <w:t xml:space="preserve">administrativo visando a apuração dos fatos ocorridos durante a fase licitatória e/ou na execução do contrato e/ou durante a gestão da Ata de Registro de Preços – ARP, bem como designar o servidor responsável, ratificar o julgamento de defesa prévia e a decisão de aplicar ou não a sanção </w:t>
      </w:r>
      <w:r w:rsidR="00543808" w:rsidRPr="001E3A50">
        <w:rPr>
          <w:b w:val="0"/>
          <w:color w:val="000000" w:themeColor="text1"/>
        </w:rPr>
        <w:t>administrativa</w:t>
      </w:r>
      <w:r w:rsidR="00455519" w:rsidRPr="001E3A50">
        <w:rPr>
          <w:b w:val="0"/>
          <w:color w:val="000000" w:themeColor="text1"/>
        </w:rPr>
        <w:t>.</w:t>
      </w:r>
    </w:p>
    <w:p w14:paraId="6B9DC37A" w14:textId="6C5BC2E4" w:rsidR="00FB7D77" w:rsidRPr="001E3A50" w:rsidRDefault="00FB7D77" w:rsidP="0055201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  <w:color w:val="000000" w:themeColor="text1"/>
        </w:rPr>
      </w:pPr>
      <w:r w:rsidRPr="001E3A50">
        <w:rPr>
          <w:color w:val="000000" w:themeColor="text1"/>
        </w:rPr>
        <w:t>Cadastro de Fornecedores do Estado do Espírito Santo –</w:t>
      </w:r>
      <w:r w:rsidRPr="001E3A50">
        <w:rPr>
          <w:b w:val="0"/>
          <w:color w:val="000000" w:themeColor="text1"/>
        </w:rPr>
        <w:t xml:space="preserve"> </w:t>
      </w:r>
      <w:r w:rsidR="001E3A50" w:rsidRPr="001E3A50">
        <w:rPr>
          <w:b w:val="0"/>
          <w:color w:val="000000" w:themeColor="text1"/>
        </w:rPr>
        <w:t>Documento disponibilizado online, por meio do SIGA, que consolida informações da situação do fornecedor, no que diz respeito à habilitação jurídica, qualificação técnica, qualificação econômica, regularidade fiscal e trabalhista, bem como registros de sanções aplicadas por órgãos ou entidades da administração pública estadual</w:t>
      </w:r>
      <w:r w:rsidRPr="001E3A50">
        <w:rPr>
          <w:b w:val="0"/>
          <w:color w:val="000000" w:themeColor="text1"/>
        </w:rPr>
        <w:t>.</w:t>
      </w:r>
    </w:p>
    <w:p w14:paraId="1E611051" w14:textId="2E2C6943" w:rsidR="00BB3F46" w:rsidRPr="00FB7D77" w:rsidRDefault="00FB7D77" w:rsidP="0055201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</w:rPr>
      </w:pPr>
      <w:r w:rsidRPr="001E3A50">
        <w:rPr>
          <w:rFonts w:eastAsia="Times New Roman"/>
          <w:color w:val="000000" w:themeColor="text1"/>
          <w:lang w:eastAsia="pt-BR"/>
        </w:rPr>
        <w:t>Cadastro Nacional de Empresas Inidôneas e Suspensas da Controladoria Geral da União (CEIS) –</w:t>
      </w:r>
      <w:r w:rsidRPr="001E3A50">
        <w:rPr>
          <w:rFonts w:eastAsia="Times New Roman"/>
          <w:b w:val="0"/>
          <w:color w:val="000000" w:themeColor="text1"/>
          <w:lang w:eastAsia="pt-BR"/>
        </w:rPr>
        <w:t xml:space="preserve"> </w:t>
      </w:r>
      <w:r w:rsidR="001E3A50" w:rsidRPr="001E3A50">
        <w:rPr>
          <w:rFonts w:eastAsia="Times New Roman"/>
          <w:b w:val="0"/>
          <w:color w:val="000000" w:themeColor="text1"/>
          <w:lang w:eastAsia="pt-BR"/>
        </w:rPr>
        <w:t xml:space="preserve">Relação </w:t>
      </w:r>
      <w:r w:rsidR="001E3A50" w:rsidRPr="00F130A9">
        <w:rPr>
          <w:rFonts w:eastAsia="Times New Roman"/>
          <w:b w:val="0"/>
          <w:lang w:eastAsia="pt-BR"/>
        </w:rPr>
        <w:t>de empresas e pessoas físicas penalizadas</w:t>
      </w:r>
      <w:r w:rsidR="001E3A50">
        <w:rPr>
          <w:rFonts w:eastAsia="Times New Roman"/>
          <w:b w:val="0"/>
          <w:lang w:eastAsia="pt-BR"/>
        </w:rPr>
        <w:t xml:space="preserve"> pela Administração Pública, com </w:t>
      </w:r>
      <w:r w:rsidR="001E3A50" w:rsidRPr="00F130A9">
        <w:rPr>
          <w:rFonts w:eastAsia="Times New Roman"/>
          <w:b w:val="0"/>
          <w:lang w:eastAsia="pt-BR"/>
        </w:rPr>
        <w:t xml:space="preserve">restrição de participar </w:t>
      </w:r>
      <w:r w:rsidR="001E3A50">
        <w:rPr>
          <w:rFonts w:eastAsia="Times New Roman"/>
          <w:b w:val="0"/>
          <w:lang w:eastAsia="pt-BR"/>
        </w:rPr>
        <w:t>de</w:t>
      </w:r>
      <w:r w:rsidR="001E3A50" w:rsidRPr="00F130A9">
        <w:rPr>
          <w:rFonts w:eastAsia="Times New Roman"/>
          <w:b w:val="0"/>
          <w:lang w:eastAsia="pt-BR"/>
        </w:rPr>
        <w:t xml:space="preserve"> licitações ou celebrar contratos</w:t>
      </w:r>
      <w:r w:rsidR="001E3A50">
        <w:rPr>
          <w:rFonts w:eastAsia="Times New Roman"/>
          <w:b w:val="0"/>
          <w:lang w:eastAsia="pt-BR"/>
        </w:rPr>
        <w:t xml:space="preserve"> administrativos</w:t>
      </w:r>
      <w:r w:rsidR="001E3A50" w:rsidRPr="00F130A9">
        <w:rPr>
          <w:rFonts w:eastAsia="Times New Roman"/>
          <w:b w:val="0"/>
          <w:lang w:eastAsia="pt-BR"/>
        </w:rPr>
        <w:t xml:space="preserve"> com a Administração Pública.</w:t>
      </w:r>
    </w:p>
    <w:p w14:paraId="0CBBA39C" w14:textId="77777777" w:rsidR="00EF34DE" w:rsidRDefault="00B855B6" w:rsidP="00EF34DE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bCs/>
          <w:color w:val="000000" w:themeColor="text1"/>
          <w:szCs w:val="24"/>
        </w:rPr>
      </w:pPr>
      <w:r w:rsidRPr="001E3A50">
        <w:rPr>
          <w:rFonts w:cs="Arial"/>
          <w:bCs/>
          <w:color w:val="000000" w:themeColor="text1"/>
          <w:szCs w:val="24"/>
        </w:rPr>
        <w:t>UNIDADES FUNCIONAIS ENVOLVIDAS</w:t>
      </w:r>
    </w:p>
    <w:p w14:paraId="2F5D7645" w14:textId="1F19EFFC" w:rsidR="00552011" w:rsidRPr="00FB7D77" w:rsidRDefault="00552011" w:rsidP="00552011">
      <w:pPr>
        <w:pStyle w:val="Ttulo1"/>
        <w:widowControl w:val="0"/>
        <w:numPr>
          <w:ilvl w:val="0"/>
          <w:numId w:val="15"/>
        </w:numPr>
        <w:spacing w:before="240"/>
        <w:ind w:left="567" w:hanging="567"/>
        <w:rPr>
          <w:b w:val="0"/>
        </w:rPr>
      </w:pPr>
      <w:r w:rsidRPr="00552011">
        <w:rPr>
          <w:rFonts w:cs="Arial"/>
          <w:b w:val="0"/>
          <w:color w:val="000000" w:themeColor="text1"/>
          <w:szCs w:val="24"/>
        </w:rPr>
        <w:t>Procuradoria Geral do Estado – PGE ou unidade equivalente em se tratando de entidades da Administração Indireta</w:t>
      </w:r>
      <w:r w:rsidRPr="00F130A9">
        <w:rPr>
          <w:rFonts w:eastAsia="Times New Roman"/>
          <w:b w:val="0"/>
          <w:lang w:eastAsia="pt-BR"/>
        </w:rPr>
        <w:t>.</w:t>
      </w:r>
    </w:p>
    <w:p w14:paraId="5A697E0D" w14:textId="77777777" w:rsidR="00B6610C" w:rsidRPr="00B761F6" w:rsidRDefault="00B855B6" w:rsidP="00EF34DE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B761F6">
        <w:t>PROCEDIMENTOS</w:t>
      </w:r>
    </w:p>
    <w:p w14:paraId="1C159CFB" w14:textId="3B9F6456" w:rsidR="005518FF" w:rsidRDefault="005518FF" w:rsidP="005518FF">
      <w:pPr>
        <w:widowControl w:val="0"/>
        <w:rPr>
          <w:rFonts w:cs="Arial"/>
          <w:szCs w:val="24"/>
        </w:rPr>
      </w:pPr>
      <w:r w:rsidRPr="005518FF">
        <w:rPr>
          <w:rFonts w:cs="Arial"/>
          <w:szCs w:val="24"/>
        </w:rPr>
        <w:t xml:space="preserve">O procedimento </w:t>
      </w:r>
      <w:r w:rsidRPr="001E3A50">
        <w:rPr>
          <w:rFonts w:cs="Arial"/>
          <w:color w:val="000000" w:themeColor="text1"/>
          <w:szCs w:val="24"/>
        </w:rPr>
        <w:t xml:space="preserve">inicia-se com a identificação de possível </w:t>
      </w:r>
      <w:r w:rsidR="00DD04DD" w:rsidRPr="001E3A50">
        <w:rPr>
          <w:rFonts w:cs="Arial"/>
          <w:color w:val="000000" w:themeColor="text1"/>
          <w:szCs w:val="24"/>
        </w:rPr>
        <w:t>conduta irregular</w:t>
      </w:r>
      <w:r w:rsidRPr="001E3A50">
        <w:rPr>
          <w:rFonts w:cs="Arial"/>
          <w:color w:val="000000" w:themeColor="text1"/>
          <w:szCs w:val="24"/>
        </w:rPr>
        <w:t xml:space="preserve"> pelo </w:t>
      </w:r>
      <w:r w:rsidR="00DD04DD" w:rsidRPr="001E3A50">
        <w:rPr>
          <w:rFonts w:cs="Arial"/>
          <w:color w:val="000000" w:themeColor="text1"/>
          <w:szCs w:val="24"/>
        </w:rPr>
        <w:t>P</w:t>
      </w:r>
      <w:r w:rsidRPr="001E3A50">
        <w:rPr>
          <w:rFonts w:cs="Arial"/>
          <w:color w:val="000000" w:themeColor="text1"/>
          <w:szCs w:val="24"/>
        </w:rPr>
        <w:t>regoeiro</w:t>
      </w:r>
      <w:r w:rsidR="00DD04DD" w:rsidRPr="001E3A50">
        <w:rPr>
          <w:rFonts w:cs="Arial"/>
          <w:color w:val="000000" w:themeColor="text1"/>
          <w:szCs w:val="24"/>
        </w:rPr>
        <w:t>/Presidente de CPL</w:t>
      </w:r>
      <w:r w:rsidRPr="001E3A50">
        <w:rPr>
          <w:rFonts w:cs="Arial"/>
          <w:color w:val="000000" w:themeColor="text1"/>
          <w:szCs w:val="24"/>
        </w:rPr>
        <w:t xml:space="preserve">, </w:t>
      </w:r>
      <w:r w:rsidR="00DD04DD" w:rsidRPr="001E3A50">
        <w:rPr>
          <w:rFonts w:cs="Arial"/>
          <w:color w:val="000000" w:themeColor="text1"/>
          <w:szCs w:val="24"/>
        </w:rPr>
        <w:t>G</w:t>
      </w:r>
      <w:r w:rsidRPr="001E3A50">
        <w:rPr>
          <w:rFonts w:cs="Arial"/>
          <w:color w:val="000000" w:themeColor="text1"/>
          <w:szCs w:val="24"/>
        </w:rPr>
        <w:t>estor</w:t>
      </w:r>
      <w:r w:rsidR="00DD04DD" w:rsidRPr="001E3A50">
        <w:rPr>
          <w:rFonts w:cs="Arial"/>
          <w:color w:val="000000" w:themeColor="text1"/>
          <w:szCs w:val="24"/>
        </w:rPr>
        <w:t>/Comissão gestora do contrato, ou G</w:t>
      </w:r>
      <w:r w:rsidRPr="001E3A50">
        <w:rPr>
          <w:rFonts w:cs="Arial"/>
          <w:color w:val="000000" w:themeColor="text1"/>
          <w:szCs w:val="24"/>
        </w:rPr>
        <w:t>estor da Ata de Registro de Preços - ARP.</w:t>
      </w:r>
    </w:p>
    <w:p w14:paraId="0433FE03" w14:textId="77777777" w:rsidR="005518FF" w:rsidRPr="005518FF" w:rsidRDefault="005518FF" w:rsidP="005518FF">
      <w:pPr>
        <w:widowControl w:val="0"/>
        <w:rPr>
          <w:rFonts w:eastAsia="Times New Roman" w:cs="Arial"/>
          <w:szCs w:val="24"/>
          <w:lang w:eastAsia="pt-BR"/>
        </w:rPr>
      </w:pPr>
      <w:r w:rsidRPr="005518FF">
        <w:rPr>
          <w:rFonts w:eastAsia="Times New Roman" w:cs="Arial"/>
          <w:szCs w:val="24"/>
          <w:lang w:eastAsia="pt-BR"/>
        </w:rPr>
        <w:t>T01 – Elaborar e instruir representação</w:t>
      </w:r>
    </w:p>
    <w:p w14:paraId="59A46EBD" w14:textId="77777777" w:rsidR="005518FF" w:rsidRPr="005518FF" w:rsidRDefault="005518FF" w:rsidP="005518FF">
      <w:pPr>
        <w:widowControl w:val="0"/>
        <w:rPr>
          <w:rFonts w:eastAsia="Times New Roman" w:cs="Arial"/>
          <w:szCs w:val="24"/>
          <w:lang w:eastAsia="pt-BR"/>
        </w:rPr>
      </w:pPr>
      <w:r w:rsidRPr="005518FF">
        <w:rPr>
          <w:rFonts w:eastAsia="Times New Roman" w:cs="Arial"/>
          <w:szCs w:val="24"/>
          <w:lang w:eastAsia="pt-BR"/>
        </w:rPr>
        <w:t xml:space="preserve">O </w:t>
      </w:r>
      <w:r w:rsidR="003F5AD9" w:rsidRPr="003F5AD9">
        <w:rPr>
          <w:rFonts w:cs="Arial"/>
          <w:szCs w:val="24"/>
        </w:rPr>
        <w:t>Pregoeiro/Presidente de CPL, Gestor/Comissão gestora do contrato, ou Gestor da Ata de Registro de Preços - ARP</w:t>
      </w:r>
      <w:r w:rsidRPr="003F5AD9">
        <w:rPr>
          <w:rFonts w:eastAsia="Times New Roman" w:cs="Arial"/>
          <w:szCs w:val="24"/>
          <w:lang w:eastAsia="pt-BR"/>
        </w:rPr>
        <w:t xml:space="preserve"> </w:t>
      </w:r>
      <w:r w:rsidRPr="005518FF">
        <w:rPr>
          <w:rFonts w:eastAsia="Times New Roman" w:cs="Arial"/>
          <w:szCs w:val="24"/>
          <w:lang w:eastAsia="pt-BR"/>
        </w:rPr>
        <w:t xml:space="preserve">elaborará representação à Autoridade Competente relatando a </w:t>
      </w:r>
      <w:r w:rsidRPr="003F5AD9">
        <w:rPr>
          <w:rFonts w:eastAsia="Times New Roman" w:cs="Arial"/>
          <w:szCs w:val="24"/>
          <w:lang w:eastAsia="pt-BR"/>
        </w:rPr>
        <w:t>conduta irregular que</w:t>
      </w:r>
      <w:r w:rsidRPr="005518FF">
        <w:rPr>
          <w:rFonts w:eastAsia="Times New Roman" w:cs="Arial"/>
          <w:szCs w:val="24"/>
          <w:lang w:eastAsia="pt-BR"/>
        </w:rPr>
        <w:t xml:space="preserve"> teria sido praticada pelo licitante ou contratado,</w:t>
      </w:r>
      <w:r w:rsidR="003F5AD9">
        <w:rPr>
          <w:rFonts w:eastAsia="Times New Roman" w:cs="Arial"/>
          <w:szCs w:val="24"/>
          <w:lang w:eastAsia="pt-BR"/>
        </w:rPr>
        <w:t xml:space="preserve"> </w:t>
      </w:r>
      <w:r w:rsidRPr="005518FF">
        <w:rPr>
          <w:rFonts w:eastAsia="Times New Roman" w:cs="Arial"/>
          <w:szCs w:val="24"/>
          <w:lang w:eastAsia="pt-BR"/>
        </w:rPr>
        <w:t>os motivos que justificariam a incidência da sanção administrativa, a sugestão da duração da penalidade e o fundamento legal (conforme o instrumento que vincule as partes – Edital, ARP ou Contrato).</w:t>
      </w:r>
    </w:p>
    <w:p w14:paraId="1439249A" w14:textId="77777777" w:rsidR="005518FF" w:rsidRPr="005518FF" w:rsidRDefault="005518FF" w:rsidP="005518FF">
      <w:pPr>
        <w:widowControl w:val="0"/>
        <w:rPr>
          <w:rFonts w:cs="Arial"/>
          <w:szCs w:val="24"/>
        </w:rPr>
      </w:pPr>
      <w:r w:rsidRPr="005518FF">
        <w:rPr>
          <w:rFonts w:eastAsia="Times New Roman" w:cs="Arial"/>
          <w:szCs w:val="24"/>
          <w:lang w:eastAsia="pt-BR"/>
        </w:rPr>
        <w:lastRenderedPageBreak/>
        <w:t>T02 – Providenciar autuação do processo</w:t>
      </w:r>
    </w:p>
    <w:p w14:paraId="6F3DD68C" w14:textId="77777777" w:rsidR="005518FF" w:rsidRPr="00B579AF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5518FF">
        <w:rPr>
          <w:rFonts w:eastAsia="Times New Roman" w:cs="Arial"/>
          <w:szCs w:val="24"/>
          <w:lang w:eastAsia="pt-BR"/>
        </w:rPr>
        <w:t xml:space="preserve">O processo próprio deverá ser autuado, antes do </w:t>
      </w:r>
      <w:r w:rsidRPr="00B579AF">
        <w:rPr>
          <w:rFonts w:eastAsia="Times New Roman" w:cs="Arial"/>
          <w:color w:val="000000" w:themeColor="text1"/>
          <w:szCs w:val="24"/>
          <w:lang w:eastAsia="pt-BR"/>
        </w:rPr>
        <w:t>envio à Autoridade Competente, com os seguintes documentos:</w:t>
      </w:r>
    </w:p>
    <w:p w14:paraId="325CB850" w14:textId="77777777" w:rsidR="005518FF" w:rsidRPr="005518FF" w:rsidRDefault="005518FF" w:rsidP="00EF34DE">
      <w:pPr>
        <w:widowControl w:val="0"/>
        <w:numPr>
          <w:ilvl w:val="0"/>
          <w:numId w:val="10"/>
        </w:numPr>
        <w:ind w:left="357" w:hanging="357"/>
        <w:rPr>
          <w:rFonts w:eastAsia="Times New Roman" w:cs="Arial"/>
          <w:szCs w:val="24"/>
          <w:lang w:eastAsia="pt-BR"/>
        </w:rPr>
      </w:pPr>
      <w:r w:rsidRPr="005518FF">
        <w:rPr>
          <w:rFonts w:eastAsia="Times New Roman" w:cs="Arial"/>
          <w:szCs w:val="24"/>
          <w:lang w:eastAsia="pt-BR"/>
        </w:rPr>
        <w:t>Representação.</w:t>
      </w:r>
    </w:p>
    <w:p w14:paraId="2A17ADDB" w14:textId="77777777" w:rsidR="005518FF" w:rsidRPr="005518FF" w:rsidRDefault="005518FF" w:rsidP="00EF34DE">
      <w:pPr>
        <w:widowControl w:val="0"/>
        <w:numPr>
          <w:ilvl w:val="0"/>
          <w:numId w:val="10"/>
        </w:numPr>
        <w:ind w:left="357" w:hanging="357"/>
        <w:rPr>
          <w:rFonts w:eastAsia="Times New Roman" w:cs="Arial"/>
          <w:szCs w:val="24"/>
          <w:lang w:eastAsia="pt-BR"/>
        </w:rPr>
      </w:pPr>
      <w:r w:rsidRPr="005518FF">
        <w:rPr>
          <w:rFonts w:eastAsia="Times New Roman" w:cs="Arial"/>
          <w:szCs w:val="24"/>
          <w:lang w:eastAsia="pt-BR"/>
        </w:rPr>
        <w:t>Cópia do Edital e/ou ARP e/ou Contrato, conforme o caso e a pertinência.</w:t>
      </w:r>
    </w:p>
    <w:p w14:paraId="69756766" w14:textId="77777777" w:rsidR="005518FF" w:rsidRPr="005518FF" w:rsidRDefault="005518FF" w:rsidP="00EF34DE">
      <w:pPr>
        <w:widowControl w:val="0"/>
        <w:numPr>
          <w:ilvl w:val="0"/>
          <w:numId w:val="10"/>
        </w:numPr>
        <w:ind w:left="357" w:hanging="357"/>
        <w:rPr>
          <w:rFonts w:eastAsia="Times New Roman" w:cs="Arial"/>
          <w:szCs w:val="24"/>
          <w:lang w:eastAsia="pt-BR"/>
        </w:rPr>
      </w:pPr>
      <w:r w:rsidRPr="005518FF">
        <w:rPr>
          <w:rFonts w:eastAsia="Times New Roman" w:cs="Arial"/>
          <w:szCs w:val="24"/>
          <w:lang w:eastAsia="pt-BR"/>
        </w:rPr>
        <w:t>Todos os elementos probatórios aptos a indicar a prá</w:t>
      </w:r>
      <w:r w:rsidR="00C255AB">
        <w:rPr>
          <w:rFonts w:eastAsia="Times New Roman" w:cs="Arial"/>
          <w:szCs w:val="24"/>
          <w:lang w:eastAsia="pt-BR"/>
        </w:rPr>
        <w:t>tica da irregularidade relatada.</w:t>
      </w:r>
    </w:p>
    <w:p w14:paraId="7780BB45" w14:textId="77777777" w:rsidR="005518FF" w:rsidRPr="00BA4C68" w:rsidRDefault="005518FF" w:rsidP="005518FF">
      <w:pPr>
        <w:widowControl w:val="0"/>
        <w:rPr>
          <w:rFonts w:eastAsia="Times New Roman" w:cs="Arial"/>
          <w:szCs w:val="24"/>
          <w:lang w:eastAsia="pt-BR"/>
        </w:rPr>
      </w:pPr>
      <w:r w:rsidRPr="005518FF">
        <w:rPr>
          <w:rFonts w:eastAsia="Times New Roman" w:cs="Arial"/>
          <w:szCs w:val="24"/>
          <w:lang w:eastAsia="pt-BR"/>
        </w:rPr>
        <w:t>T03 – Autorizar a instauração do procedimento de sanção e designar o responsável pela apuração</w:t>
      </w:r>
    </w:p>
    <w:p w14:paraId="209D4320" w14:textId="13D37E52" w:rsidR="005518FF" w:rsidRPr="00BA4C68" w:rsidRDefault="005518FF" w:rsidP="005518FF">
      <w:pPr>
        <w:widowControl w:val="0"/>
        <w:rPr>
          <w:rFonts w:eastAsia="Times New Roman" w:cs="Arial"/>
          <w:szCs w:val="24"/>
          <w:lang w:eastAsia="pt-BR"/>
        </w:rPr>
      </w:pPr>
      <w:r w:rsidRPr="00BA4C68">
        <w:rPr>
          <w:rFonts w:eastAsia="Times New Roman" w:cs="Arial"/>
          <w:szCs w:val="24"/>
          <w:lang w:eastAsia="pt-BR"/>
        </w:rPr>
        <w:t>Autorizada a instauração do procedimento, a Autoridade Competente designará o responsável pela apuração e avaliará se a conduta enquadra-se nas hipóteses d</w:t>
      </w:r>
      <w:r w:rsidR="00B579AF" w:rsidRPr="00BA4C68">
        <w:rPr>
          <w:rFonts w:eastAsia="Times New Roman" w:cs="Arial"/>
          <w:szCs w:val="24"/>
          <w:lang w:eastAsia="pt-BR"/>
        </w:rPr>
        <w:t xml:space="preserve">o Decreto Estadual 3.956-R/2016. Em caso positivo, </w:t>
      </w:r>
      <w:r w:rsidRPr="00BA4C68">
        <w:rPr>
          <w:rFonts w:eastAsia="Times New Roman" w:cs="Arial"/>
          <w:szCs w:val="24"/>
          <w:lang w:eastAsia="pt-BR"/>
        </w:rPr>
        <w:t>segui</w:t>
      </w:r>
      <w:r w:rsidR="00B579AF" w:rsidRPr="00BA4C68">
        <w:rPr>
          <w:rFonts w:eastAsia="Times New Roman" w:cs="Arial"/>
          <w:szCs w:val="24"/>
          <w:lang w:eastAsia="pt-BR"/>
        </w:rPr>
        <w:t xml:space="preserve">r para </w:t>
      </w:r>
      <w:r w:rsidRPr="00BA4C68">
        <w:rPr>
          <w:rFonts w:eastAsia="Times New Roman" w:cs="Arial"/>
          <w:szCs w:val="24"/>
          <w:lang w:eastAsia="pt-BR"/>
        </w:rPr>
        <w:t>T05</w:t>
      </w:r>
      <w:r w:rsidR="00B579AF" w:rsidRPr="00BA4C68">
        <w:rPr>
          <w:rFonts w:eastAsia="Times New Roman" w:cs="Arial"/>
          <w:szCs w:val="24"/>
          <w:lang w:eastAsia="pt-BR"/>
        </w:rPr>
        <w:t xml:space="preserve">. Caso contrário, seguir para </w:t>
      </w:r>
      <w:r w:rsidRPr="00BA4C68">
        <w:rPr>
          <w:rFonts w:eastAsia="Times New Roman" w:cs="Arial"/>
          <w:szCs w:val="24"/>
          <w:lang w:eastAsia="pt-BR"/>
        </w:rPr>
        <w:t>T07.</w:t>
      </w:r>
    </w:p>
    <w:p w14:paraId="4C24DC3F" w14:textId="77777777" w:rsidR="005518FF" w:rsidRPr="00BA4C68" w:rsidRDefault="005518FF" w:rsidP="005518FF">
      <w:pPr>
        <w:widowControl w:val="0"/>
        <w:rPr>
          <w:rFonts w:cs="Arial"/>
          <w:szCs w:val="24"/>
        </w:rPr>
      </w:pPr>
      <w:r w:rsidRPr="00BA4C68">
        <w:rPr>
          <w:rFonts w:cs="Arial"/>
          <w:szCs w:val="24"/>
        </w:rPr>
        <w:t>Não sendo autorizado o procedimento, o processo deve seguir para o T04.</w:t>
      </w:r>
    </w:p>
    <w:p w14:paraId="3D222A83" w14:textId="77777777" w:rsidR="00635725" w:rsidRPr="00BA4C68" w:rsidRDefault="005518FF" w:rsidP="005518FF">
      <w:pPr>
        <w:widowControl w:val="0"/>
        <w:rPr>
          <w:rFonts w:eastAsia="Times New Roman" w:cs="Arial"/>
          <w:szCs w:val="24"/>
          <w:lang w:eastAsia="pt-BR"/>
        </w:rPr>
      </w:pPr>
      <w:r w:rsidRPr="00BA4C68">
        <w:rPr>
          <w:rFonts w:eastAsia="Times New Roman" w:cs="Arial"/>
          <w:szCs w:val="24"/>
          <w:lang w:eastAsia="pt-BR"/>
        </w:rPr>
        <w:t>T04 – Apensar ao processo original</w:t>
      </w:r>
      <w:r w:rsidR="007757DB" w:rsidRPr="00BA4C68">
        <w:rPr>
          <w:rFonts w:eastAsia="Times New Roman" w:cs="Arial"/>
          <w:szCs w:val="24"/>
          <w:lang w:eastAsia="pt-BR"/>
        </w:rPr>
        <w:t xml:space="preserve"> </w:t>
      </w:r>
    </w:p>
    <w:p w14:paraId="62C5C452" w14:textId="77777777" w:rsidR="005518FF" w:rsidRPr="00BA4C68" w:rsidRDefault="005518FF" w:rsidP="005518FF">
      <w:pPr>
        <w:widowControl w:val="0"/>
        <w:rPr>
          <w:rFonts w:eastAsia="Times New Roman" w:cs="Arial"/>
          <w:szCs w:val="24"/>
          <w:lang w:eastAsia="pt-BR"/>
        </w:rPr>
      </w:pPr>
      <w:r w:rsidRPr="00BA4C68">
        <w:rPr>
          <w:rFonts w:eastAsia="Times New Roman" w:cs="Arial"/>
          <w:szCs w:val="24"/>
          <w:lang w:eastAsia="pt-BR"/>
        </w:rPr>
        <w:t>T05 – Determinar remessa de Ofício à SECONT</w:t>
      </w:r>
    </w:p>
    <w:p w14:paraId="58096ABC" w14:textId="77777777" w:rsidR="005518FF" w:rsidRPr="00BA4C68" w:rsidRDefault="005518FF" w:rsidP="005518FF">
      <w:pPr>
        <w:widowControl w:val="0"/>
        <w:rPr>
          <w:rFonts w:eastAsia="Times New Roman" w:cs="Arial"/>
          <w:szCs w:val="24"/>
          <w:lang w:eastAsia="pt-BR"/>
        </w:rPr>
      </w:pPr>
      <w:r w:rsidRPr="00BA4C68">
        <w:rPr>
          <w:rFonts w:eastAsia="Times New Roman" w:cs="Arial"/>
          <w:szCs w:val="24"/>
          <w:lang w:eastAsia="pt-BR"/>
        </w:rPr>
        <w:t>T06 – Encaminhar Ofício à SECONT</w:t>
      </w:r>
    </w:p>
    <w:p w14:paraId="7C508C2E" w14:textId="77777777" w:rsidR="005518FF" w:rsidRPr="00B579AF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579AF">
        <w:rPr>
          <w:rFonts w:eastAsia="Times New Roman" w:cs="Arial"/>
          <w:color w:val="000000" w:themeColor="text1"/>
          <w:szCs w:val="24"/>
          <w:lang w:eastAsia="pt-BR"/>
        </w:rPr>
        <w:t>O responsável pela apuração encaminhará Ofício à SECONT, com cópia de toda documentação comprobatória pertinente, observando o prazo de 10 (dez) dias, de acordo com o §3º, do art. 4º, do Decreto Estadual 3.956-R/20</w:t>
      </w:r>
      <w:r w:rsidR="00635725" w:rsidRPr="00B579AF">
        <w:rPr>
          <w:rFonts w:eastAsia="Times New Roman" w:cs="Arial"/>
          <w:color w:val="000000" w:themeColor="text1"/>
          <w:szCs w:val="24"/>
          <w:lang w:eastAsia="pt-BR"/>
        </w:rPr>
        <w:t>16, juntando o</w:t>
      </w:r>
      <w:r w:rsidR="006B12B4" w:rsidRPr="00B579AF">
        <w:rPr>
          <w:rFonts w:eastAsia="Times New Roman" w:cs="Arial"/>
          <w:color w:val="000000" w:themeColor="text1"/>
          <w:szCs w:val="24"/>
          <w:lang w:eastAsia="pt-BR"/>
        </w:rPr>
        <w:t xml:space="preserve"> referido ofício aos autos.</w:t>
      </w:r>
    </w:p>
    <w:p w14:paraId="391EB167" w14:textId="77777777" w:rsidR="005518FF" w:rsidRPr="005518FF" w:rsidRDefault="005518FF" w:rsidP="005518FF">
      <w:pPr>
        <w:widowControl w:val="0"/>
        <w:rPr>
          <w:rFonts w:cs="Arial"/>
          <w:szCs w:val="24"/>
        </w:rPr>
      </w:pPr>
      <w:r w:rsidRPr="005518FF">
        <w:rPr>
          <w:rFonts w:cs="Arial"/>
          <w:szCs w:val="24"/>
        </w:rPr>
        <w:t>T07 – Notificar a empresa para apresentar defesa prévia</w:t>
      </w:r>
    </w:p>
    <w:p w14:paraId="69889D73" w14:textId="621C67B5" w:rsidR="005518FF" w:rsidRDefault="005518FF" w:rsidP="005518FF">
      <w:pPr>
        <w:widowControl w:val="0"/>
        <w:rPr>
          <w:rFonts w:eastAsia="Times New Roman" w:cs="Arial"/>
          <w:szCs w:val="24"/>
          <w:lang w:eastAsia="pt-BR"/>
        </w:rPr>
      </w:pPr>
      <w:r w:rsidRPr="005518FF">
        <w:rPr>
          <w:rFonts w:eastAsia="Times New Roman" w:cs="Arial"/>
          <w:szCs w:val="24"/>
          <w:lang w:eastAsia="pt-BR"/>
        </w:rPr>
        <w:t>O responsá</w:t>
      </w:r>
      <w:r w:rsidRPr="00B579AF">
        <w:rPr>
          <w:rFonts w:eastAsia="Times New Roman" w:cs="Arial"/>
          <w:color w:val="000000" w:themeColor="text1"/>
          <w:szCs w:val="24"/>
          <w:lang w:eastAsia="pt-BR"/>
        </w:rPr>
        <w:t>vel pela apuração encaminhará notificação à empresa para apresentação de defesa prévia, acompanhada de cópia da representação, informando a disponibilidade do processo para consulta/vistas. A notificação deve ser efetuada mediante ciência do licitante ou contratado, ou por via postal, com aviso de recebimento devidamente assinado. O comprovante de que a empresa recebeu a notificação deve ser juntado aos autos.</w:t>
      </w:r>
    </w:p>
    <w:p w14:paraId="390D273C" w14:textId="2B5B8D9C" w:rsidR="003D1E32" w:rsidRPr="008A2A40" w:rsidRDefault="003D1E32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8A2A40">
        <w:rPr>
          <w:rFonts w:eastAsia="Times New Roman" w:cs="Arial"/>
          <w:color w:val="000000" w:themeColor="text1"/>
          <w:szCs w:val="24"/>
          <w:lang w:eastAsia="pt-BR"/>
        </w:rPr>
        <w:t>É cabível a notificação</w:t>
      </w:r>
      <w:r w:rsidR="00B579AF" w:rsidRPr="008A2A40">
        <w:rPr>
          <w:rFonts w:eastAsia="Times New Roman" w:cs="Arial"/>
          <w:color w:val="000000" w:themeColor="text1"/>
          <w:szCs w:val="24"/>
          <w:lang w:eastAsia="pt-BR"/>
        </w:rPr>
        <w:t xml:space="preserve"> pessoal ou</w:t>
      </w:r>
      <w:r w:rsidRPr="008A2A40">
        <w:rPr>
          <w:rFonts w:eastAsia="Times New Roman" w:cs="Arial"/>
          <w:color w:val="000000" w:themeColor="text1"/>
          <w:szCs w:val="24"/>
          <w:lang w:eastAsia="pt-BR"/>
        </w:rPr>
        <w:t xml:space="preserve"> via correio eletrônico</w:t>
      </w:r>
      <w:r w:rsidR="008A2A40" w:rsidRPr="008A2A40">
        <w:rPr>
          <w:rFonts w:eastAsia="Times New Roman" w:cs="Arial"/>
          <w:color w:val="000000" w:themeColor="text1"/>
          <w:szCs w:val="24"/>
          <w:lang w:eastAsia="pt-BR"/>
        </w:rPr>
        <w:t>, utilizando o endereço informado no CRC/ES ou no processo. C</w:t>
      </w:r>
      <w:r w:rsidRPr="008A2A40">
        <w:rPr>
          <w:rFonts w:eastAsia="Times New Roman" w:cs="Arial"/>
          <w:color w:val="000000" w:themeColor="text1"/>
          <w:szCs w:val="24"/>
          <w:lang w:eastAsia="pt-BR"/>
        </w:rPr>
        <w:t>ontudo</w:t>
      </w:r>
      <w:r w:rsidR="004A3778" w:rsidRPr="008A2A40">
        <w:rPr>
          <w:rFonts w:eastAsia="Times New Roman" w:cs="Arial"/>
          <w:color w:val="000000" w:themeColor="text1"/>
          <w:szCs w:val="24"/>
          <w:lang w:eastAsia="pt-BR"/>
        </w:rPr>
        <w:t>,</w:t>
      </w:r>
      <w:r w:rsidRPr="008A2A40">
        <w:rPr>
          <w:rFonts w:eastAsia="Times New Roman" w:cs="Arial"/>
          <w:color w:val="000000" w:themeColor="text1"/>
          <w:szCs w:val="24"/>
          <w:lang w:eastAsia="pt-BR"/>
        </w:rPr>
        <w:t xml:space="preserve"> a </w:t>
      </w:r>
      <w:r w:rsidR="008A2A40" w:rsidRPr="008A2A40">
        <w:rPr>
          <w:rFonts w:eastAsia="Times New Roman" w:cs="Arial"/>
          <w:color w:val="000000" w:themeColor="text1"/>
          <w:szCs w:val="24"/>
          <w:lang w:eastAsia="pt-BR"/>
        </w:rPr>
        <w:t xml:space="preserve">confirmação do </w:t>
      </w:r>
      <w:r w:rsidRPr="008A2A40">
        <w:rPr>
          <w:rFonts w:eastAsia="Times New Roman" w:cs="Arial"/>
          <w:color w:val="000000" w:themeColor="text1"/>
          <w:szCs w:val="24"/>
          <w:lang w:eastAsia="pt-BR"/>
        </w:rPr>
        <w:t>recebimento</w:t>
      </w:r>
      <w:r w:rsidR="008A2A40" w:rsidRPr="008A2A40">
        <w:rPr>
          <w:rFonts w:eastAsia="Times New Roman" w:cs="Arial"/>
          <w:color w:val="000000" w:themeColor="text1"/>
          <w:szCs w:val="24"/>
          <w:lang w:eastAsia="pt-BR"/>
        </w:rPr>
        <w:t>, nos autos,</w:t>
      </w:r>
      <w:r w:rsidRPr="008A2A40">
        <w:rPr>
          <w:rFonts w:eastAsia="Times New Roman" w:cs="Arial"/>
          <w:color w:val="000000" w:themeColor="text1"/>
          <w:szCs w:val="24"/>
          <w:lang w:eastAsia="pt-BR"/>
        </w:rPr>
        <w:t xml:space="preserve"> </w:t>
      </w:r>
      <w:r w:rsidR="004A3778" w:rsidRPr="008A2A40">
        <w:rPr>
          <w:rFonts w:eastAsia="Times New Roman" w:cs="Arial"/>
          <w:color w:val="000000" w:themeColor="text1"/>
          <w:szCs w:val="24"/>
          <w:lang w:eastAsia="pt-BR"/>
        </w:rPr>
        <w:t xml:space="preserve">é imprescindível </w:t>
      </w:r>
      <w:r w:rsidRPr="008A2A40">
        <w:rPr>
          <w:rFonts w:eastAsia="Times New Roman" w:cs="Arial"/>
          <w:color w:val="000000" w:themeColor="text1"/>
          <w:szCs w:val="24"/>
          <w:lang w:eastAsia="pt-BR"/>
        </w:rPr>
        <w:t xml:space="preserve">para </w:t>
      </w:r>
      <w:r w:rsidR="008C2EAE" w:rsidRPr="008A2A40">
        <w:rPr>
          <w:rFonts w:eastAsia="Times New Roman" w:cs="Arial"/>
          <w:color w:val="000000" w:themeColor="text1"/>
          <w:szCs w:val="24"/>
          <w:lang w:eastAsia="pt-BR"/>
        </w:rPr>
        <w:t>demonstrar a</w:t>
      </w:r>
      <w:r w:rsidRPr="008A2A40">
        <w:rPr>
          <w:rFonts w:eastAsia="Times New Roman" w:cs="Arial"/>
          <w:color w:val="000000" w:themeColor="text1"/>
          <w:szCs w:val="24"/>
          <w:lang w:eastAsia="pt-BR"/>
        </w:rPr>
        <w:t xml:space="preserve"> ci</w:t>
      </w:r>
      <w:r w:rsidR="004A3778" w:rsidRPr="008A2A40">
        <w:rPr>
          <w:rFonts w:eastAsia="Times New Roman" w:cs="Arial"/>
          <w:color w:val="000000" w:themeColor="text1"/>
          <w:szCs w:val="24"/>
          <w:lang w:eastAsia="pt-BR"/>
        </w:rPr>
        <w:t>ência inequívoca da notificação.</w:t>
      </w:r>
    </w:p>
    <w:p w14:paraId="48A6F633" w14:textId="696C58A3" w:rsidR="005518FF" w:rsidRPr="008A2A40" w:rsidRDefault="005518FF" w:rsidP="005518FF">
      <w:pPr>
        <w:widowControl w:val="0"/>
        <w:rPr>
          <w:rFonts w:cs="Arial"/>
          <w:color w:val="000000" w:themeColor="text1"/>
          <w:szCs w:val="24"/>
        </w:rPr>
      </w:pPr>
      <w:r w:rsidRPr="008A2A40">
        <w:rPr>
          <w:rFonts w:eastAsia="Times New Roman" w:cs="Arial"/>
          <w:color w:val="000000" w:themeColor="text1"/>
          <w:szCs w:val="24"/>
          <w:lang w:eastAsia="pt-BR"/>
        </w:rPr>
        <w:t xml:space="preserve">Caso sejam frustradas as tentativas de </w:t>
      </w:r>
      <w:r w:rsidR="008A2A40">
        <w:rPr>
          <w:rFonts w:eastAsia="Times New Roman" w:cs="Arial"/>
          <w:color w:val="000000" w:themeColor="text1"/>
          <w:szCs w:val="24"/>
          <w:lang w:eastAsia="pt-BR"/>
        </w:rPr>
        <w:t>notificação</w:t>
      </w:r>
      <w:r w:rsidRPr="008A2A40">
        <w:rPr>
          <w:rFonts w:eastAsia="Times New Roman" w:cs="Arial"/>
          <w:color w:val="000000" w:themeColor="text1"/>
          <w:szCs w:val="24"/>
          <w:lang w:eastAsia="pt-BR"/>
        </w:rPr>
        <w:t>, ou a empresa nega</w:t>
      </w:r>
      <w:r w:rsidR="00B579AF" w:rsidRPr="008A2A40">
        <w:rPr>
          <w:rFonts w:eastAsia="Times New Roman" w:cs="Arial"/>
          <w:color w:val="000000" w:themeColor="text1"/>
          <w:szCs w:val="24"/>
          <w:lang w:eastAsia="pt-BR"/>
        </w:rPr>
        <w:t>r</w:t>
      </w:r>
      <w:r w:rsidRPr="008A2A40">
        <w:rPr>
          <w:rFonts w:eastAsia="Times New Roman" w:cs="Arial"/>
          <w:color w:val="000000" w:themeColor="text1"/>
          <w:szCs w:val="24"/>
          <w:lang w:eastAsia="pt-BR"/>
        </w:rPr>
        <w:t xml:space="preserve"> o registro de sua ciência, </w:t>
      </w:r>
      <w:r w:rsidR="008A2A40">
        <w:rPr>
          <w:rFonts w:eastAsia="Times New Roman" w:cs="Arial"/>
          <w:color w:val="000000" w:themeColor="text1"/>
          <w:szCs w:val="24"/>
          <w:lang w:eastAsia="pt-BR"/>
        </w:rPr>
        <w:t>esta</w:t>
      </w:r>
      <w:r w:rsidRPr="008A2A40">
        <w:rPr>
          <w:rFonts w:eastAsia="Times New Roman" w:cs="Arial"/>
          <w:color w:val="000000" w:themeColor="text1"/>
          <w:szCs w:val="24"/>
          <w:lang w:eastAsia="pt-BR"/>
        </w:rPr>
        <w:t xml:space="preserve"> deverá ser realizada através de publicação no Diário Oficial do Estado.</w:t>
      </w:r>
    </w:p>
    <w:p w14:paraId="483FCE5B" w14:textId="5B1EF13C" w:rsidR="00741F38" w:rsidRPr="004002EF" w:rsidRDefault="00741F38" w:rsidP="00741F38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4002EF">
        <w:rPr>
          <w:rFonts w:eastAsia="Times New Roman" w:cs="Arial"/>
          <w:color w:val="000000" w:themeColor="text1"/>
          <w:szCs w:val="24"/>
          <w:lang w:eastAsia="pt-BR"/>
        </w:rPr>
        <w:t>Aguardar o decorrer do prazo,</w:t>
      </w:r>
      <w:r w:rsidRPr="004002EF">
        <w:rPr>
          <w:rFonts w:cs="Arial"/>
          <w:color w:val="000000" w:themeColor="text1"/>
          <w:szCs w:val="24"/>
        </w:rPr>
        <w:t xml:space="preserve"> nos termos do §3º do art. 92, da Portaria SEGER/PGE/SECONT n.º 049-R/2010</w:t>
      </w:r>
      <w:r w:rsidRPr="004002EF">
        <w:rPr>
          <w:rFonts w:eastAsia="Times New Roman" w:cs="Arial"/>
          <w:color w:val="000000" w:themeColor="text1"/>
          <w:szCs w:val="24"/>
          <w:lang w:eastAsia="pt-BR"/>
        </w:rPr>
        <w:t xml:space="preserve">, contado a partir do recebimento ou ciência da </w:t>
      </w:r>
      <w:r w:rsidRPr="004002EF">
        <w:rPr>
          <w:rFonts w:eastAsia="Times New Roman" w:cs="Arial"/>
          <w:color w:val="000000" w:themeColor="text1"/>
          <w:szCs w:val="24"/>
          <w:lang w:eastAsia="pt-BR"/>
        </w:rPr>
        <w:lastRenderedPageBreak/>
        <w:t>notificação,</w:t>
      </w:r>
      <w:r w:rsidRPr="004002EF">
        <w:rPr>
          <w:rFonts w:cs="Arial"/>
          <w:color w:val="000000" w:themeColor="text1"/>
          <w:szCs w:val="24"/>
        </w:rPr>
        <w:t xml:space="preserve"> excluindo-se o dia do recebimento e incluindo-se o do vencimento</w:t>
      </w:r>
      <w:r w:rsidRPr="004002EF">
        <w:rPr>
          <w:rFonts w:eastAsia="Times New Roman" w:cs="Arial"/>
          <w:color w:val="000000" w:themeColor="text1"/>
          <w:szCs w:val="24"/>
          <w:lang w:eastAsia="pt-BR"/>
        </w:rPr>
        <w:t>:</w:t>
      </w:r>
    </w:p>
    <w:p w14:paraId="685C9F1F" w14:textId="77777777" w:rsidR="005518FF" w:rsidRPr="005518FF" w:rsidRDefault="005518FF" w:rsidP="00EF34DE">
      <w:pPr>
        <w:widowControl w:val="0"/>
        <w:numPr>
          <w:ilvl w:val="0"/>
          <w:numId w:val="11"/>
        </w:numPr>
        <w:ind w:left="357" w:hanging="357"/>
        <w:rPr>
          <w:rFonts w:eastAsia="Times New Roman" w:cs="Arial"/>
          <w:szCs w:val="24"/>
          <w:lang w:eastAsia="pt-BR"/>
        </w:rPr>
      </w:pPr>
      <w:r w:rsidRPr="005518FF">
        <w:rPr>
          <w:rFonts w:eastAsia="Times New Roman" w:cs="Arial"/>
          <w:szCs w:val="24"/>
          <w:lang w:eastAsia="pt-BR"/>
        </w:rPr>
        <w:t>5 (cinco) dias uteis, para advertência, multa, suspensão e impedimento.</w:t>
      </w:r>
    </w:p>
    <w:p w14:paraId="44516385" w14:textId="77777777" w:rsidR="005518FF" w:rsidRPr="005518FF" w:rsidRDefault="005518FF" w:rsidP="00EF34DE">
      <w:pPr>
        <w:widowControl w:val="0"/>
        <w:numPr>
          <w:ilvl w:val="0"/>
          <w:numId w:val="11"/>
        </w:numPr>
        <w:ind w:left="357" w:hanging="357"/>
        <w:rPr>
          <w:rFonts w:eastAsia="Times New Roman" w:cs="Arial"/>
          <w:szCs w:val="24"/>
          <w:lang w:eastAsia="pt-BR"/>
        </w:rPr>
      </w:pPr>
      <w:r w:rsidRPr="005518FF">
        <w:rPr>
          <w:rFonts w:eastAsia="Times New Roman" w:cs="Arial"/>
          <w:szCs w:val="24"/>
          <w:lang w:eastAsia="pt-BR"/>
        </w:rPr>
        <w:t>10 (dez) dias uteis, para declaração de inidoneidade.</w:t>
      </w:r>
    </w:p>
    <w:p w14:paraId="0163B771" w14:textId="77777777" w:rsidR="005518FF" w:rsidRPr="00BA0946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A0946">
        <w:rPr>
          <w:rFonts w:eastAsia="Times New Roman" w:cs="Arial"/>
          <w:color w:val="000000" w:themeColor="text1"/>
          <w:szCs w:val="24"/>
          <w:lang w:eastAsia="pt-BR"/>
        </w:rPr>
        <w:t>T08 – Elaborar manifestação</w:t>
      </w:r>
    </w:p>
    <w:p w14:paraId="69812085" w14:textId="046DEED9" w:rsidR="005518FF" w:rsidRPr="00BA0946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A0946">
        <w:rPr>
          <w:rFonts w:eastAsia="Times New Roman" w:cs="Arial"/>
          <w:color w:val="000000" w:themeColor="text1"/>
          <w:szCs w:val="24"/>
          <w:lang w:eastAsia="pt-BR"/>
        </w:rPr>
        <w:t>O</w:t>
      </w:r>
      <w:r w:rsidR="007878BD" w:rsidRPr="00BA0946">
        <w:rPr>
          <w:rFonts w:eastAsia="Times New Roman" w:cs="Arial"/>
          <w:color w:val="000000" w:themeColor="text1"/>
          <w:szCs w:val="24"/>
          <w:lang w:eastAsia="pt-BR"/>
        </w:rPr>
        <w:t xml:space="preserve"> responsável pela apuração</w:t>
      </w:r>
      <w:r w:rsidRPr="00BA0946">
        <w:rPr>
          <w:rFonts w:eastAsia="Times New Roman" w:cs="Arial"/>
          <w:color w:val="000000" w:themeColor="text1"/>
          <w:szCs w:val="24"/>
          <w:lang w:eastAsia="pt-BR"/>
        </w:rPr>
        <w:t xml:space="preserve"> </w:t>
      </w:r>
      <w:r w:rsidR="007878BD" w:rsidRPr="00BA0946">
        <w:rPr>
          <w:rFonts w:eastAsia="Times New Roman" w:cs="Arial"/>
          <w:color w:val="000000" w:themeColor="text1"/>
          <w:szCs w:val="24"/>
          <w:lang w:eastAsia="pt-BR"/>
        </w:rPr>
        <w:t xml:space="preserve">elaborará </w:t>
      </w:r>
      <w:r w:rsidRPr="00BA0946">
        <w:rPr>
          <w:rFonts w:eastAsia="Times New Roman" w:cs="Arial"/>
          <w:color w:val="000000" w:themeColor="text1"/>
          <w:szCs w:val="24"/>
          <w:lang w:eastAsia="pt-BR"/>
        </w:rPr>
        <w:t>relatório</w:t>
      </w:r>
      <w:r w:rsidR="007878BD" w:rsidRPr="00BA0946">
        <w:rPr>
          <w:rFonts w:eastAsia="Times New Roman" w:cs="Arial"/>
          <w:color w:val="000000" w:themeColor="text1"/>
          <w:szCs w:val="24"/>
          <w:lang w:eastAsia="pt-BR"/>
        </w:rPr>
        <w:t>, cotejando</w:t>
      </w:r>
      <w:r w:rsidRPr="00BA0946">
        <w:rPr>
          <w:rFonts w:eastAsia="Times New Roman" w:cs="Arial"/>
          <w:color w:val="000000" w:themeColor="text1"/>
          <w:szCs w:val="24"/>
          <w:lang w:eastAsia="pt-BR"/>
        </w:rPr>
        <w:t xml:space="preserve"> a imputação com as razões de defesa, se houver, opinando, fundamentadamente, pela absolvição ou pela aplicação da sanção, com proposta quanto à tipificação e ao tempo de sua duração e encaminhar</w:t>
      </w:r>
      <w:r w:rsidR="007878BD" w:rsidRPr="00BA0946">
        <w:rPr>
          <w:rFonts w:eastAsia="Times New Roman" w:cs="Arial"/>
          <w:color w:val="000000" w:themeColor="text1"/>
          <w:szCs w:val="24"/>
          <w:lang w:eastAsia="pt-BR"/>
        </w:rPr>
        <w:t>á</w:t>
      </w:r>
      <w:r w:rsidRPr="00BA0946">
        <w:rPr>
          <w:rFonts w:eastAsia="Times New Roman" w:cs="Arial"/>
          <w:color w:val="000000" w:themeColor="text1"/>
          <w:szCs w:val="24"/>
          <w:lang w:eastAsia="pt-BR"/>
        </w:rPr>
        <w:t xml:space="preserve"> o process</w:t>
      </w:r>
      <w:r w:rsidR="00987E91" w:rsidRPr="00BA0946">
        <w:rPr>
          <w:rFonts w:eastAsia="Times New Roman" w:cs="Arial"/>
          <w:color w:val="000000" w:themeColor="text1"/>
          <w:szCs w:val="24"/>
          <w:lang w:eastAsia="pt-BR"/>
        </w:rPr>
        <w:t>o à</w:t>
      </w:r>
      <w:r w:rsidRPr="00BA0946">
        <w:rPr>
          <w:rFonts w:eastAsia="Times New Roman" w:cs="Arial"/>
          <w:color w:val="000000" w:themeColor="text1"/>
          <w:szCs w:val="24"/>
          <w:lang w:eastAsia="pt-BR"/>
        </w:rPr>
        <w:t xml:space="preserve"> Autoridade Competente para decisão.</w:t>
      </w:r>
    </w:p>
    <w:p w14:paraId="19C9908C" w14:textId="77777777" w:rsidR="005518FF" w:rsidRPr="00BA0946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A0946">
        <w:rPr>
          <w:rFonts w:eastAsia="Times New Roman" w:cs="Arial"/>
          <w:color w:val="000000" w:themeColor="text1"/>
          <w:szCs w:val="24"/>
          <w:lang w:eastAsia="pt-BR"/>
        </w:rPr>
        <w:t>T09 – Decidir motivadamente acatando ou não a manifestação</w:t>
      </w:r>
    </w:p>
    <w:p w14:paraId="64BAFDF5" w14:textId="0426C886" w:rsidR="005518FF" w:rsidRPr="004B2879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4B2879">
        <w:rPr>
          <w:rFonts w:eastAsia="Times New Roman" w:cs="Arial"/>
          <w:color w:val="000000" w:themeColor="text1"/>
          <w:szCs w:val="24"/>
          <w:lang w:eastAsia="pt-BR"/>
        </w:rPr>
        <w:t xml:space="preserve">A Autoridade Competente emitirá decisão motivada acatando ou não a manifestação do responsável pela apuração, ou </w:t>
      </w:r>
      <w:r w:rsidR="00BB6A25" w:rsidRPr="004B2879">
        <w:rPr>
          <w:rFonts w:eastAsia="Times New Roman" w:cs="Arial"/>
          <w:color w:val="000000" w:themeColor="text1"/>
          <w:szCs w:val="24"/>
          <w:lang w:eastAsia="pt-BR"/>
        </w:rPr>
        <w:t xml:space="preserve">indicará </w:t>
      </w:r>
      <w:r w:rsidRPr="004B2879">
        <w:rPr>
          <w:rFonts w:eastAsia="Times New Roman" w:cs="Arial"/>
          <w:color w:val="000000" w:themeColor="text1"/>
          <w:szCs w:val="24"/>
          <w:lang w:eastAsia="pt-BR"/>
        </w:rPr>
        <w:t>outra sanção ou medida mais adequada.</w:t>
      </w:r>
    </w:p>
    <w:p w14:paraId="74AD9B8F" w14:textId="01BF4751" w:rsidR="005518FF" w:rsidRPr="005518FF" w:rsidRDefault="00987E91" w:rsidP="005518FF">
      <w:pPr>
        <w:widowControl w:val="0"/>
        <w:rPr>
          <w:rFonts w:cs="Arial"/>
          <w:szCs w:val="24"/>
        </w:rPr>
      </w:pPr>
      <w:r>
        <w:rPr>
          <w:rFonts w:cs="Arial"/>
          <w:szCs w:val="24"/>
        </w:rPr>
        <w:t xml:space="preserve">Caso decida </w:t>
      </w:r>
      <w:r w:rsidR="005518FF" w:rsidRPr="005518FF">
        <w:rPr>
          <w:rFonts w:cs="Arial"/>
          <w:szCs w:val="24"/>
        </w:rPr>
        <w:t>pela não aplicação da sanção, seguir para o T10.</w:t>
      </w:r>
    </w:p>
    <w:p w14:paraId="7CEBD243" w14:textId="3D03A014" w:rsidR="00BB6A25" w:rsidRPr="004B2879" w:rsidRDefault="006F2802" w:rsidP="005518FF">
      <w:pPr>
        <w:widowControl w:val="0"/>
        <w:rPr>
          <w:rFonts w:cs="Arial"/>
          <w:color w:val="000000" w:themeColor="text1"/>
          <w:szCs w:val="24"/>
        </w:rPr>
      </w:pPr>
      <w:r w:rsidRPr="004B2879">
        <w:rPr>
          <w:rFonts w:cs="Arial"/>
          <w:color w:val="000000" w:themeColor="text1"/>
          <w:szCs w:val="24"/>
        </w:rPr>
        <w:t xml:space="preserve">Caso decida </w:t>
      </w:r>
      <w:r w:rsidR="00BB6A25" w:rsidRPr="004B2879">
        <w:rPr>
          <w:rFonts w:cs="Arial"/>
          <w:color w:val="000000" w:themeColor="text1"/>
          <w:szCs w:val="24"/>
        </w:rPr>
        <w:t>pela aplicação da sanção</w:t>
      </w:r>
      <w:r w:rsidRPr="004B2879">
        <w:rPr>
          <w:rFonts w:cs="Arial"/>
          <w:color w:val="000000" w:themeColor="text1"/>
          <w:szCs w:val="24"/>
        </w:rPr>
        <w:t>,</w:t>
      </w:r>
      <w:r w:rsidR="00BB6A25" w:rsidRPr="004B2879">
        <w:rPr>
          <w:rFonts w:cs="Arial"/>
          <w:color w:val="000000" w:themeColor="text1"/>
          <w:szCs w:val="24"/>
        </w:rPr>
        <w:t xml:space="preserve"> </w:t>
      </w:r>
      <w:r w:rsidR="00DD3F6E" w:rsidRPr="004B2879">
        <w:rPr>
          <w:rFonts w:cs="Arial"/>
          <w:color w:val="000000" w:themeColor="text1"/>
          <w:szCs w:val="24"/>
        </w:rPr>
        <w:t>seguir para T</w:t>
      </w:r>
      <w:r w:rsidRPr="004B2879">
        <w:rPr>
          <w:rFonts w:cs="Arial"/>
          <w:color w:val="000000" w:themeColor="text1"/>
          <w:szCs w:val="24"/>
        </w:rPr>
        <w:t>12, T16 ou T</w:t>
      </w:r>
      <w:r w:rsidR="00DD3F6E" w:rsidRPr="004B2879">
        <w:rPr>
          <w:rFonts w:cs="Arial"/>
          <w:color w:val="000000" w:themeColor="text1"/>
          <w:szCs w:val="24"/>
        </w:rPr>
        <w:t>22</w:t>
      </w:r>
      <w:r w:rsidRPr="004B2879">
        <w:rPr>
          <w:rFonts w:cs="Arial"/>
          <w:color w:val="000000" w:themeColor="text1"/>
          <w:szCs w:val="24"/>
        </w:rPr>
        <w:t>, conforme o tipo de sanção</w:t>
      </w:r>
      <w:r w:rsidR="00DD3F6E" w:rsidRPr="004B2879">
        <w:rPr>
          <w:rFonts w:cs="Arial"/>
          <w:color w:val="000000" w:themeColor="text1"/>
          <w:szCs w:val="24"/>
        </w:rPr>
        <w:t xml:space="preserve">. </w:t>
      </w:r>
    </w:p>
    <w:p w14:paraId="7DEE580F" w14:textId="77777777" w:rsidR="005518FF" w:rsidRPr="005518FF" w:rsidRDefault="005518FF" w:rsidP="005518FF">
      <w:pPr>
        <w:widowControl w:val="0"/>
        <w:rPr>
          <w:rFonts w:eastAsia="Times New Roman" w:cs="Arial"/>
          <w:szCs w:val="24"/>
          <w:lang w:eastAsia="pt-BR"/>
        </w:rPr>
      </w:pPr>
      <w:r w:rsidRPr="005518FF">
        <w:rPr>
          <w:rFonts w:eastAsia="Times New Roman" w:cs="Arial"/>
          <w:szCs w:val="24"/>
          <w:lang w:eastAsia="pt-BR"/>
        </w:rPr>
        <w:t>T10 – Cientificar a empresa</w:t>
      </w:r>
    </w:p>
    <w:p w14:paraId="3BB5443D" w14:textId="77777777" w:rsidR="005518FF" w:rsidRPr="005518FF" w:rsidRDefault="005518FF" w:rsidP="005518FF">
      <w:pPr>
        <w:widowControl w:val="0"/>
        <w:rPr>
          <w:rFonts w:eastAsia="Times New Roman" w:cs="Arial"/>
          <w:szCs w:val="24"/>
          <w:lang w:eastAsia="pt-BR"/>
        </w:rPr>
      </w:pPr>
      <w:r w:rsidRPr="005518FF">
        <w:rPr>
          <w:rFonts w:eastAsia="Times New Roman" w:cs="Arial"/>
          <w:szCs w:val="24"/>
          <w:lang w:eastAsia="pt-BR"/>
        </w:rPr>
        <w:t>T11 – Apensar ao processo original</w:t>
      </w:r>
    </w:p>
    <w:p w14:paraId="3407BDB0" w14:textId="77777777" w:rsidR="005518FF" w:rsidRPr="005518FF" w:rsidRDefault="005518FF" w:rsidP="005518FF">
      <w:pPr>
        <w:widowControl w:val="0"/>
        <w:rPr>
          <w:rFonts w:cs="Arial"/>
          <w:szCs w:val="24"/>
        </w:rPr>
      </w:pPr>
      <w:r w:rsidRPr="005518FF">
        <w:rPr>
          <w:rFonts w:cs="Arial"/>
          <w:szCs w:val="24"/>
        </w:rPr>
        <w:t>T12 – Decidir motivadamente pela aplicação da sanção</w:t>
      </w:r>
    </w:p>
    <w:p w14:paraId="2804E780" w14:textId="5F6E53D4" w:rsidR="005518FF" w:rsidRPr="004B2879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4B2879">
        <w:rPr>
          <w:rFonts w:cs="Arial"/>
          <w:color w:val="000000" w:themeColor="text1"/>
          <w:szCs w:val="24"/>
        </w:rPr>
        <w:t xml:space="preserve">Nos casos de aplicação de sanção de impedimento ou inidoneidade </w:t>
      </w:r>
      <w:r w:rsidR="00DD3F6E" w:rsidRPr="004B2879">
        <w:rPr>
          <w:rFonts w:cs="Arial"/>
          <w:color w:val="000000" w:themeColor="text1"/>
          <w:szCs w:val="24"/>
        </w:rPr>
        <w:t>por e</w:t>
      </w:r>
      <w:r w:rsidRPr="004B2879">
        <w:rPr>
          <w:rFonts w:cs="Arial"/>
          <w:color w:val="000000" w:themeColor="text1"/>
          <w:szCs w:val="24"/>
        </w:rPr>
        <w:t xml:space="preserve">ntidades da Administração Indireta, os autos devem ser encaminhados para decisão motivada do Secretário de Estado da Secretaria à qual </w:t>
      </w:r>
      <w:r w:rsidR="006F2802" w:rsidRPr="004B2879">
        <w:rPr>
          <w:rFonts w:cs="Arial"/>
          <w:color w:val="000000" w:themeColor="text1"/>
          <w:szCs w:val="24"/>
        </w:rPr>
        <w:t xml:space="preserve">a entidade </w:t>
      </w:r>
      <w:r w:rsidRPr="004B2879">
        <w:rPr>
          <w:rFonts w:cs="Arial"/>
          <w:color w:val="000000" w:themeColor="text1"/>
          <w:szCs w:val="24"/>
        </w:rPr>
        <w:t>se vincule</w:t>
      </w:r>
      <w:r w:rsidR="006F2802" w:rsidRPr="004B2879">
        <w:rPr>
          <w:rFonts w:cs="Arial"/>
          <w:color w:val="000000" w:themeColor="text1"/>
          <w:szCs w:val="24"/>
        </w:rPr>
        <w:t xml:space="preserve">. </w:t>
      </w:r>
      <w:r w:rsidRPr="004B2879">
        <w:rPr>
          <w:rFonts w:eastAsia="Times New Roman" w:cs="Arial"/>
          <w:color w:val="000000" w:themeColor="text1"/>
          <w:szCs w:val="24"/>
          <w:lang w:eastAsia="pt-BR"/>
        </w:rPr>
        <w:t>(</w:t>
      </w:r>
      <w:r w:rsidR="006F2802" w:rsidRPr="004B2879">
        <w:rPr>
          <w:rFonts w:eastAsia="Times New Roman" w:cs="Arial"/>
          <w:color w:val="000000" w:themeColor="text1"/>
          <w:szCs w:val="24"/>
          <w:lang w:eastAsia="pt-BR"/>
        </w:rPr>
        <w:t xml:space="preserve">Artigo 91, </w:t>
      </w:r>
      <w:r w:rsidRPr="004B2879">
        <w:rPr>
          <w:rFonts w:eastAsia="Times New Roman" w:cs="Arial"/>
          <w:color w:val="000000" w:themeColor="text1"/>
          <w:szCs w:val="24"/>
          <w:lang w:eastAsia="pt-BR"/>
        </w:rPr>
        <w:t>§§1º e 2º da Portaria SEGER/PGE/SECONT n.º 49-R/2010).</w:t>
      </w:r>
    </w:p>
    <w:p w14:paraId="5F31D5D1" w14:textId="13506837" w:rsidR="008D6127" w:rsidRPr="004B2879" w:rsidRDefault="006F2802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4B2879">
        <w:rPr>
          <w:rFonts w:eastAsia="Times New Roman" w:cs="Arial"/>
          <w:color w:val="000000" w:themeColor="text1"/>
          <w:szCs w:val="24"/>
          <w:lang w:eastAsia="pt-BR"/>
        </w:rPr>
        <w:t xml:space="preserve">Caso decida a </w:t>
      </w:r>
      <w:r w:rsidR="008D6127" w:rsidRPr="004B2879">
        <w:rPr>
          <w:rFonts w:eastAsia="Times New Roman" w:cs="Arial"/>
          <w:color w:val="000000" w:themeColor="text1"/>
          <w:szCs w:val="24"/>
          <w:lang w:eastAsia="pt-BR"/>
        </w:rPr>
        <w:t>Secretaria vinculada pela aplicação da sanção, seguir</w:t>
      </w:r>
      <w:r w:rsidR="004B2879" w:rsidRPr="004B2879">
        <w:rPr>
          <w:rFonts w:eastAsia="Times New Roman" w:cs="Arial"/>
          <w:color w:val="000000" w:themeColor="text1"/>
          <w:szCs w:val="24"/>
          <w:lang w:eastAsia="pt-BR"/>
        </w:rPr>
        <w:t xml:space="preserve"> para T16. Caso contrário, seguir</w:t>
      </w:r>
      <w:r w:rsidR="008D6127" w:rsidRPr="004B2879">
        <w:rPr>
          <w:rFonts w:eastAsia="Times New Roman" w:cs="Arial"/>
          <w:color w:val="000000" w:themeColor="text1"/>
          <w:szCs w:val="24"/>
          <w:lang w:eastAsia="pt-BR"/>
        </w:rPr>
        <w:t xml:space="preserve"> para T13, T14 e T15.</w:t>
      </w:r>
    </w:p>
    <w:p w14:paraId="7D3DDE42" w14:textId="359CB56D" w:rsidR="005518FF" w:rsidRPr="00B83D22" w:rsidRDefault="00511838" w:rsidP="005518FF">
      <w:pPr>
        <w:widowControl w:val="0"/>
        <w:rPr>
          <w:rFonts w:cs="Arial"/>
          <w:color w:val="000000" w:themeColor="text1"/>
          <w:szCs w:val="24"/>
        </w:rPr>
      </w:pPr>
      <w:r w:rsidRPr="00B83D22">
        <w:rPr>
          <w:rFonts w:cs="Arial"/>
          <w:color w:val="000000" w:themeColor="text1"/>
          <w:szCs w:val="24"/>
        </w:rPr>
        <w:t xml:space="preserve">T13 – </w:t>
      </w:r>
      <w:r w:rsidR="005518FF" w:rsidRPr="00B83D22">
        <w:rPr>
          <w:rFonts w:cs="Arial"/>
          <w:color w:val="000000" w:themeColor="text1"/>
          <w:szCs w:val="24"/>
        </w:rPr>
        <w:t>Tomar ciência e encaminhar ao responsável pela apuração</w:t>
      </w:r>
    </w:p>
    <w:p w14:paraId="49848469" w14:textId="77777777" w:rsidR="005518FF" w:rsidRPr="00B83D22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83D22">
        <w:rPr>
          <w:rFonts w:eastAsia="Times New Roman" w:cs="Arial"/>
          <w:color w:val="000000" w:themeColor="text1"/>
          <w:szCs w:val="24"/>
          <w:lang w:eastAsia="pt-BR"/>
        </w:rPr>
        <w:t>T14 – Cientificar a empresa</w:t>
      </w:r>
    </w:p>
    <w:p w14:paraId="7BD8827D" w14:textId="77777777" w:rsidR="005518FF" w:rsidRPr="00B83D22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83D22">
        <w:rPr>
          <w:rFonts w:eastAsia="Times New Roman" w:cs="Arial"/>
          <w:color w:val="000000" w:themeColor="text1"/>
          <w:szCs w:val="24"/>
          <w:lang w:eastAsia="pt-BR"/>
        </w:rPr>
        <w:t>T15 – Apensar ao processo original</w:t>
      </w:r>
    </w:p>
    <w:p w14:paraId="3C12E727" w14:textId="77777777" w:rsidR="005518FF" w:rsidRPr="00B83D22" w:rsidRDefault="005518FF" w:rsidP="005518FF">
      <w:pPr>
        <w:widowControl w:val="0"/>
        <w:rPr>
          <w:rFonts w:cs="Arial"/>
          <w:color w:val="000000" w:themeColor="text1"/>
          <w:szCs w:val="24"/>
        </w:rPr>
      </w:pPr>
      <w:r w:rsidRPr="00B83D22">
        <w:rPr>
          <w:rFonts w:cs="Arial"/>
          <w:color w:val="000000" w:themeColor="text1"/>
          <w:szCs w:val="24"/>
        </w:rPr>
        <w:t>T16 – Encaminhar o processo à SEGER</w:t>
      </w:r>
    </w:p>
    <w:p w14:paraId="3C3A92D1" w14:textId="6432D077" w:rsidR="005518FF" w:rsidRPr="00B83D22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83D22">
        <w:rPr>
          <w:rFonts w:eastAsia="Times New Roman" w:cs="Arial"/>
          <w:color w:val="000000" w:themeColor="text1"/>
          <w:szCs w:val="24"/>
          <w:lang w:eastAsia="pt-BR"/>
        </w:rPr>
        <w:t>Os autos devem ser encaminhados à SEGER para confirmação da decisão, antes da publicação, em caso de aplicação das seguintes sanções: suspensão temporária, declaração de inidoneidade e impedimento de licitar e contratar (</w:t>
      </w:r>
      <w:r w:rsidR="002F2A39" w:rsidRPr="00B83D22">
        <w:rPr>
          <w:rFonts w:eastAsia="Times New Roman" w:cs="Arial"/>
          <w:color w:val="000000" w:themeColor="text1"/>
          <w:szCs w:val="24"/>
          <w:lang w:eastAsia="pt-BR"/>
        </w:rPr>
        <w:t xml:space="preserve">artigo 93, </w:t>
      </w:r>
      <w:r w:rsidRPr="00B83D22">
        <w:rPr>
          <w:rFonts w:eastAsia="Times New Roman" w:cs="Arial"/>
          <w:color w:val="000000" w:themeColor="text1"/>
          <w:szCs w:val="24"/>
          <w:lang w:eastAsia="pt-BR"/>
        </w:rPr>
        <w:t>§3º</w:t>
      </w:r>
      <w:r w:rsidR="002F2A39" w:rsidRPr="00B83D22">
        <w:rPr>
          <w:rFonts w:eastAsia="Times New Roman" w:cs="Arial"/>
          <w:color w:val="000000" w:themeColor="text1"/>
          <w:szCs w:val="24"/>
          <w:lang w:eastAsia="pt-BR"/>
        </w:rPr>
        <w:t xml:space="preserve"> </w:t>
      </w:r>
      <w:r w:rsidRPr="00B83D22">
        <w:rPr>
          <w:rFonts w:eastAsia="Times New Roman" w:cs="Arial"/>
          <w:color w:val="000000" w:themeColor="text1"/>
          <w:szCs w:val="24"/>
          <w:lang w:eastAsia="pt-BR"/>
        </w:rPr>
        <w:t>da Portaria SEGER/PGE/SECONT n.º 49-R/2010).</w:t>
      </w:r>
    </w:p>
    <w:p w14:paraId="7EDA0C4F" w14:textId="77777777" w:rsidR="005518FF" w:rsidRPr="00B75E1D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75E1D">
        <w:rPr>
          <w:rFonts w:eastAsia="Times New Roman" w:cs="Arial"/>
          <w:color w:val="000000" w:themeColor="text1"/>
          <w:szCs w:val="24"/>
          <w:lang w:eastAsia="pt-BR"/>
        </w:rPr>
        <w:t>T17 – Decidir sobre a confirmação da sanção</w:t>
      </w:r>
    </w:p>
    <w:p w14:paraId="2D27E126" w14:textId="094E5259" w:rsidR="004F5E10" w:rsidRPr="00B75E1D" w:rsidRDefault="002F2A39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75E1D">
        <w:rPr>
          <w:rFonts w:eastAsia="Times New Roman" w:cs="Arial"/>
          <w:color w:val="000000" w:themeColor="text1"/>
          <w:szCs w:val="24"/>
          <w:lang w:eastAsia="pt-BR"/>
        </w:rPr>
        <w:t>A</w:t>
      </w:r>
      <w:r w:rsidR="004F5E10" w:rsidRPr="00B75E1D">
        <w:rPr>
          <w:rFonts w:eastAsia="Times New Roman" w:cs="Arial"/>
          <w:color w:val="000000" w:themeColor="text1"/>
          <w:szCs w:val="24"/>
          <w:lang w:eastAsia="pt-BR"/>
        </w:rPr>
        <w:t xml:space="preserve"> SEGER poderá devolver os autos ao órgão de origem para correção ou </w:t>
      </w:r>
      <w:r w:rsidR="004F5E10" w:rsidRPr="00B75E1D">
        <w:rPr>
          <w:rFonts w:eastAsia="Times New Roman" w:cs="Arial"/>
          <w:color w:val="000000" w:themeColor="text1"/>
          <w:szCs w:val="24"/>
          <w:lang w:eastAsia="pt-BR"/>
        </w:rPr>
        <w:lastRenderedPageBreak/>
        <w:t>complementação da instrução processual,</w:t>
      </w:r>
      <w:r w:rsidRPr="00B75E1D">
        <w:rPr>
          <w:rFonts w:eastAsia="Times New Roman" w:cs="Arial"/>
          <w:color w:val="000000" w:themeColor="text1"/>
          <w:szCs w:val="24"/>
          <w:lang w:eastAsia="pt-BR"/>
        </w:rPr>
        <w:t xml:space="preserve"> antes de sua decisão,</w:t>
      </w:r>
      <w:r w:rsidR="004F5E10" w:rsidRPr="00B75E1D">
        <w:rPr>
          <w:rFonts w:eastAsia="Times New Roman" w:cs="Arial"/>
          <w:color w:val="000000" w:themeColor="text1"/>
          <w:szCs w:val="24"/>
          <w:lang w:eastAsia="pt-BR"/>
        </w:rPr>
        <w:t xml:space="preserve"> conforme o caso concreto.</w:t>
      </w:r>
    </w:p>
    <w:p w14:paraId="3E46BBF6" w14:textId="77777777" w:rsidR="00EF7FBF" w:rsidRPr="00C85CA5" w:rsidRDefault="00EF7FBF" w:rsidP="00EF7FB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C85CA5">
        <w:rPr>
          <w:rFonts w:eastAsia="Times New Roman" w:cs="Arial"/>
          <w:color w:val="000000" w:themeColor="text1"/>
          <w:szCs w:val="24"/>
          <w:lang w:eastAsia="pt-BR"/>
        </w:rPr>
        <w:t>Confirmada a sanção administrativa, seguir para T21. Caso contrário, seguir para T18.</w:t>
      </w:r>
    </w:p>
    <w:p w14:paraId="6DF53C94" w14:textId="77777777" w:rsidR="005518FF" w:rsidRPr="00C85CA5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C85CA5">
        <w:rPr>
          <w:rFonts w:eastAsia="Times New Roman" w:cs="Arial"/>
          <w:color w:val="000000" w:themeColor="text1"/>
          <w:szCs w:val="24"/>
          <w:lang w:eastAsia="pt-BR"/>
        </w:rPr>
        <w:t>T18 – Decidir pela aplicação das demais modalidades sancionatórias</w:t>
      </w:r>
    </w:p>
    <w:p w14:paraId="085B5DA1" w14:textId="04ADA734" w:rsidR="00B75E1D" w:rsidRPr="00C85CA5" w:rsidRDefault="00EF7FB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C85CA5">
        <w:rPr>
          <w:rFonts w:eastAsia="Times New Roman" w:cs="Arial"/>
          <w:color w:val="000000" w:themeColor="text1"/>
          <w:szCs w:val="24"/>
          <w:lang w:eastAsia="pt-BR"/>
        </w:rPr>
        <w:t xml:space="preserve">Se a </w:t>
      </w:r>
      <w:r w:rsidR="005518FF" w:rsidRPr="00C85CA5">
        <w:rPr>
          <w:rFonts w:eastAsia="Times New Roman" w:cs="Arial"/>
          <w:color w:val="000000" w:themeColor="text1"/>
          <w:szCs w:val="24"/>
          <w:lang w:eastAsia="pt-BR"/>
        </w:rPr>
        <w:t xml:space="preserve">Autoridade Competente </w:t>
      </w:r>
      <w:r w:rsidRPr="00C85CA5">
        <w:rPr>
          <w:rFonts w:eastAsia="Times New Roman" w:cs="Arial"/>
          <w:color w:val="000000" w:themeColor="text1"/>
          <w:szCs w:val="24"/>
          <w:lang w:eastAsia="pt-BR"/>
        </w:rPr>
        <w:t xml:space="preserve">decidir motivadamente </w:t>
      </w:r>
      <w:r w:rsidR="005518FF" w:rsidRPr="00C85CA5">
        <w:rPr>
          <w:rFonts w:eastAsia="Times New Roman" w:cs="Arial"/>
          <w:color w:val="000000" w:themeColor="text1"/>
          <w:szCs w:val="24"/>
          <w:lang w:eastAsia="pt-BR"/>
        </w:rPr>
        <w:t>pela aplicação das de</w:t>
      </w:r>
      <w:r w:rsidR="00B75E1D" w:rsidRPr="00C85CA5">
        <w:rPr>
          <w:rFonts w:eastAsia="Times New Roman" w:cs="Arial"/>
          <w:color w:val="000000" w:themeColor="text1"/>
          <w:szCs w:val="24"/>
          <w:lang w:eastAsia="pt-BR"/>
        </w:rPr>
        <w:t>mais modalidades sancionatórias</w:t>
      </w:r>
      <w:r w:rsidR="001F4015">
        <w:rPr>
          <w:rFonts w:eastAsia="Times New Roman" w:cs="Arial"/>
          <w:color w:val="000000" w:themeColor="text1"/>
          <w:szCs w:val="24"/>
          <w:lang w:eastAsia="pt-BR"/>
        </w:rPr>
        <w:t>,</w:t>
      </w:r>
      <w:r w:rsidR="005518FF" w:rsidRPr="00C85CA5">
        <w:rPr>
          <w:rFonts w:eastAsia="Times New Roman" w:cs="Arial"/>
          <w:color w:val="000000" w:themeColor="text1"/>
          <w:szCs w:val="24"/>
          <w:lang w:eastAsia="pt-BR"/>
        </w:rPr>
        <w:t xml:space="preserve"> </w:t>
      </w:r>
      <w:r w:rsidR="005132EA" w:rsidRPr="00C85CA5">
        <w:rPr>
          <w:rFonts w:eastAsia="Times New Roman" w:cs="Arial"/>
          <w:color w:val="000000" w:themeColor="text1"/>
          <w:szCs w:val="24"/>
          <w:lang w:eastAsia="pt-BR"/>
        </w:rPr>
        <w:t xml:space="preserve">sendo a nova sanção </w:t>
      </w:r>
      <w:r w:rsidR="00BA4C68">
        <w:rPr>
          <w:rFonts w:eastAsia="Times New Roman" w:cs="Arial"/>
          <w:color w:val="000000" w:themeColor="text1"/>
          <w:szCs w:val="24"/>
          <w:lang w:eastAsia="pt-BR"/>
        </w:rPr>
        <w:t>i</w:t>
      </w:r>
      <w:r w:rsidR="005132EA" w:rsidRPr="00C85CA5">
        <w:rPr>
          <w:rFonts w:eastAsia="Times New Roman" w:cs="Arial"/>
          <w:color w:val="000000" w:themeColor="text1"/>
          <w:szCs w:val="24"/>
          <w:lang w:eastAsia="pt-BR"/>
        </w:rPr>
        <w:t xml:space="preserve">nidoneidade, </w:t>
      </w:r>
      <w:r w:rsidR="00BA4C68">
        <w:rPr>
          <w:rFonts w:eastAsia="Times New Roman" w:cs="Arial"/>
          <w:color w:val="000000" w:themeColor="text1"/>
          <w:szCs w:val="24"/>
          <w:lang w:eastAsia="pt-BR"/>
        </w:rPr>
        <w:t>i</w:t>
      </w:r>
      <w:r w:rsidR="005132EA" w:rsidRPr="00C85CA5">
        <w:rPr>
          <w:rFonts w:eastAsia="Times New Roman" w:cs="Arial"/>
          <w:color w:val="000000" w:themeColor="text1"/>
          <w:szCs w:val="24"/>
          <w:lang w:eastAsia="pt-BR"/>
        </w:rPr>
        <w:t xml:space="preserve">mpedimento ou </w:t>
      </w:r>
      <w:r w:rsidR="00BA4C68">
        <w:rPr>
          <w:rFonts w:eastAsia="Times New Roman" w:cs="Arial"/>
          <w:color w:val="000000" w:themeColor="text1"/>
          <w:szCs w:val="24"/>
          <w:lang w:eastAsia="pt-BR"/>
        </w:rPr>
        <w:t>s</w:t>
      </w:r>
      <w:r w:rsidR="005132EA" w:rsidRPr="00C85CA5">
        <w:rPr>
          <w:rFonts w:eastAsia="Times New Roman" w:cs="Arial"/>
          <w:color w:val="000000" w:themeColor="text1"/>
          <w:szCs w:val="24"/>
          <w:lang w:eastAsia="pt-BR"/>
        </w:rPr>
        <w:t>uspensão, seguir para T16. Nas sanções</w:t>
      </w:r>
      <w:r w:rsidR="00B75E1D" w:rsidRPr="00C85CA5">
        <w:rPr>
          <w:rFonts w:eastAsia="Times New Roman" w:cs="Arial"/>
          <w:color w:val="000000" w:themeColor="text1"/>
          <w:szCs w:val="24"/>
          <w:lang w:eastAsia="pt-BR"/>
        </w:rPr>
        <w:t xml:space="preserve"> de </w:t>
      </w:r>
      <w:r w:rsidR="00BA4C68">
        <w:rPr>
          <w:rFonts w:eastAsia="Times New Roman" w:cs="Arial"/>
          <w:color w:val="000000" w:themeColor="text1"/>
          <w:szCs w:val="24"/>
          <w:lang w:eastAsia="pt-BR"/>
        </w:rPr>
        <w:t>a</w:t>
      </w:r>
      <w:r w:rsidR="00B75E1D" w:rsidRPr="00C85CA5">
        <w:rPr>
          <w:rFonts w:eastAsia="Times New Roman" w:cs="Arial"/>
          <w:color w:val="000000" w:themeColor="text1"/>
          <w:szCs w:val="24"/>
          <w:lang w:eastAsia="pt-BR"/>
        </w:rPr>
        <w:t xml:space="preserve">dvertência e </w:t>
      </w:r>
      <w:r w:rsidR="00BA4C68">
        <w:rPr>
          <w:rFonts w:eastAsia="Times New Roman" w:cs="Arial"/>
          <w:color w:val="000000" w:themeColor="text1"/>
          <w:szCs w:val="24"/>
          <w:lang w:eastAsia="pt-BR"/>
        </w:rPr>
        <w:t>m</w:t>
      </w:r>
      <w:r w:rsidR="00B75E1D" w:rsidRPr="00C85CA5">
        <w:rPr>
          <w:rFonts w:eastAsia="Times New Roman" w:cs="Arial"/>
          <w:color w:val="000000" w:themeColor="text1"/>
          <w:szCs w:val="24"/>
          <w:lang w:eastAsia="pt-BR"/>
        </w:rPr>
        <w:t>ulta</w:t>
      </w:r>
      <w:r w:rsidR="005132EA" w:rsidRPr="00C85CA5">
        <w:rPr>
          <w:rFonts w:eastAsia="Times New Roman" w:cs="Arial"/>
          <w:color w:val="000000" w:themeColor="text1"/>
          <w:szCs w:val="24"/>
          <w:lang w:eastAsia="pt-BR"/>
        </w:rPr>
        <w:t xml:space="preserve">, </w:t>
      </w:r>
      <w:r w:rsidR="005518FF" w:rsidRPr="00C85CA5">
        <w:rPr>
          <w:rFonts w:eastAsia="Times New Roman" w:cs="Arial"/>
          <w:color w:val="000000" w:themeColor="text1"/>
          <w:szCs w:val="24"/>
          <w:lang w:eastAsia="pt-BR"/>
        </w:rPr>
        <w:t>seguir para T22.</w:t>
      </w:r>
    </w:p>
    <w:p w14:paraId="7421E86F" w14:textId="0792CBEA" w:rsidR="005518FF" w:rsidRPr="00C85CA5" w:rsidRDefault="00B75E1D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C85CA5">
        <w:rPr>
          <w:rFonts w:eastAsia="Times New Roman" w:cs="Arial"/>
          <w:color w:val="000000" w:themeColor="text1"/>
          <w:szCs w:val="24"/>
          <w:lang w:eastAsia="pt-BR"/>
        </w:rPr>
        <w:t xml:space="preserve">Decidindo pela não aplicação, </w:t>
      </w:r>
      <w:r w:rsidR="005518FF" w:rsidRPr="00C85CA5">
        <w:rPr>
          <w:rFonts w:eastAsia="Times New Roman" w:cs="Arial"/>
          <w:color w:val="000000" w:themeColor="text1"/>
          <w:szCs w:val="24"/>
          <w:lang w:eastAsia="pt-BR"/>
        </w:rPr>
        <w:t>seguir para T19.</w:t>
      </w:r>
    </w:p>
    <w:p w14:paraId="53DECF1A" w14:textId="77777777" w:rsidR="005518FF" w:rsidRPr="00FD2DC3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FD2DC3">
        <w:rPr>
          <w:rFonts w:eastAsia="Times New Roman" w:cs="Arial"/>
          <w:color w:val="000000" w:themeColor="text1"/>
          <w:szCs w:val="24"/>
          <w:lang w:eastAsia="pt-BR"/>
        </w:rPr>
        <w:t>T19 – Cientificar a empresa</w:t>
      </w:r>
    </w:p>
    <w:p w14:paraId="25BBFE20" w14:textId="77777777" w:rsidR="005518FF" w:rsidRPr="00FD2DC3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FD2DC3">
        <w:rPr>
          <w:rFonts w:eastAsia="Times New Roman" w:cs="Arial"/>
          <w:color w:val="000000" w:themeColor="text1"/>
          <w:szCs w:val="24"/>
          <w:lang w:eastAsia="pt-BR"/>
        </w:rPr>
        <w:t>T20 – Apensar ao processo original</w:t>
      </w:r>
    </w:p>
    <w:p w14:paraId="3810D7C2" w14:textId="409FA9FC" w:rsidR="005518FF" w:rsidRPr="004D12BA" w:rsidRDefault="005518FF" w:rsidP="005518FF">
      <w:pPr>
        <w:widowControl w:val="0"/>
        <w:rPr>
          <w:rFonts w:cs="Arial"/>
          <w:color w:val="000000" w:themeColor="text1"/>
          <w:szCs w:val="24"/>
        </w:rPr>
      </w:pPr>
      <w:r w:rsidRPr="004D12BA">
        <w:rPr>
          <w:rFonts w:cs="Arial"/>
          <w:color w:val="000000" w:themeColor="text1"/>
          <w:szCs w:val="24"/>
        </w:rPr>
        <w:t>T21</w:t>
      </w:r>
      <w:r w:rsidR="005132EA" w:rsidRPr="004D12BA">
        <w:rPr>
          <w:rFonts w:cs="Arial"/>
          <w:color w:val="000000" w:themeColor="text1"/>
          <w:szCs w:val="24"/>
        </w:rPr>
        <w:t xml:space="preserve"> –</w:t>
      </w:r>
      <w:r w:rsidRPr="004D12BA">
        <w:rPr>
          <w:rFonts w:cs="Arial"/>
          <w:color w:val="000000" w:themeColor="text1"/>
          <w:szCs w:val="24"/>
        </w:rPr>
        <w:t xml:space="preserve"> Tomar ciência e encaminhar ao responsável pela apuração</w:t>
      </w:r>
    </w:p>
    <w:p w14:paraId="793207E9" w14:textId="77777777" w:rsidR="005518FF" w:rsidRPr="004D12BA" w:rsidRDefault="005518FF" w:rsidP="005518FF">
      <w:pPr>
        <w:widowControl w:val="0"/>
        <w:rPr>
          <w:rFonts w:cs="Arial"/>
          <w:color w:val="000000" w:themeColor="text1"/>
          <w:szCs w:val="24"/>
        </w:rPr>
      </w:pPr>
      <w:r w:rsidRPr="004D12BA">
        <w:rPr>
          <w:rFonts w:cs="Arial"/>
          <w:color w:val="000000" w:themeColor="text1"/>
          <w:szCs w:val="24"/>
        </w:rPr>
        <w:t>T22 – Avaliar a obrigatoriedade de publicação do extrato da sanção</w:t>
      </w:r>
    </w:p>
    <w:p w14:paraId="6A2567BF" w14:textId="3081B23B" w:rsidR="00C6580A" w:rsidRPr="004D12BA" w:rsidRDefault="00C6580A" w:rsidP="005518FF">
      <w:pPr>
        <w:widowControl w:val="0"/>
        <w:rPr>
          <w:rFonts w:cs="Arial"/>
          <w:color w:val="000000" w:themeColor="text1"/>
          <w:szCs w:val="24"/>
        </w:rPr>
      </w:pPr>
      <w:r w:rsidRPr="004D12BA">
        <w:rPr>
          <w:rFonts w:eastAsia="Times New Roman" w:cs="Arial"/>
          <w:color w:val="000000" w:themeColor="text1"/>
          <w:szCs w:val="24"/>
          <w:lang w:eastAsia="pt-BR"/>
        </w:rPr>
        <w:t xml:space="preserve">Em regra, a sanção administrativa deve ser publicada de forma resumida na Impressa Oficial para sua validade e eficácia, ficando facultada a publicação apenas </w:t>
      </w:r>
      <w:r w:rsidR="005132EA" w:rsidRPr="004D12BA">
        <w:rPr>
          <w:rFonts w:eastAsia="Times New Roman" w:cs="Arial"/>
          <w:color w:val="000000" w:themeColor="text1"/>
          <w:szCs w:val="24"/>
          <w:lang w:eastAsia="pt-BR"/>
        </w:rPr>
        <w:t>em relação à advertência e multa (</w:t>
      </w:r>
      <w:r w:rsidRPr="004D12BA">
        <w:rPr>
          <w:rFonts w:eastAsia="Times New Roman" w:cs="Arial"/>
          <w:color w:val="000000" w:themeColor="text1"/>
          <w:szCs w:val="24"/>
          <w:lang w:eastAsia="pt-BR"/>
        </w:rPr>
        <w:t xml:space="preserve">art. 94, </w:t>
      </w:r>
      <w:r w:rsidRPr="004D12BA">
        <w:rPr>
          <w:rFonts w:eastAsia="Times New Roman" w:cs="Arial"/>
          <w:i/>
          <w:color w:val="000000" w:themeColor="text1"/>
          <w:szCs w:val="24"/>
          <w:lang w:eastAsia="pt-BR"/>
        </w:rPr>
        <w:t>caput</w:t>
      </w:r>
      <w:r w:rsidRPr="004D12BA">
        <w:rPr>
          <w:rFonts w:eastAsia="Times New Roman" w:cs="Arial"/>
          <w:color w:val="000000" w:themeColor="text1"/>
          <w:szCs w:val="24"/>
          <w:lang w:eastAsia="pt-BR"/>
        </w:rPr>
        <w:t xml:space="preserve"> e § 1º da Portaria SEGER/PGE/SECONT n.º 49-R/2010</w:t>
      </w:r>
      <w:r w:rsidR="005132EA" w:rsidRPr="004D12BA">
        <w:rPr>
          <w:rFonts w:cs="Arial"/>
          <w:color w:val="000000" w:themeColor="text1"/>
          <w:szCs w:val="24"/>
        </w:rPr>
        <w:t>).</w:t>
      </w:r>
    </w:p>
    <w:p w14:paraId="3809E98C" w14:textId="1B9F5B1B" w:rsidR="006139F6" w:rsidRPr="004D12BA" w:rsidRDefault="006139F6" w:rsidP="005518FF">
      <w:pPr>
        <w:widowControl w:val="0"/>
        <w:rPr>
          <w:rFonts w:cs="Arial"/>
          <w:color w:val="000000" w:themeColor="text1"/>
          <w:szCs w:val="24"/>
        </w:rPr>
      </w:pPr>
      <w:r w:rsidRPr="004D12BA">
        <w:rPr>
          <w:rFonts w:eastAsia="Times New Roman" w:cs="Arial"/>
          <w:color w:val="000000" w:themeColor="text1"/>
          <w:szCs w:val="24"/>
          <w:lang w:eastAsia="pt-BR"/>
        </w:rPr>
        <w:t xml:space="preserve">Sendo o caso de publicação do extrato, seguir para T23. Não </w:t>
      </w:r>
      <w:r w:rsidR="00A07D4D" w:rsidRPr="004D12BA">
        <w:rPr>
          <w:rFonts w:eastAsia="Times New Roman" w:cs="Arial"/>
          <w:color w:val="000000" w:themeColor="text1"/>
          <w:szCs w:val="24"/>
          <w:lang w:eastAsia="pt-BR"/>
        </w:rPr>
        <w:t>sendo, seguir</w:t>
      </w:r>
      <w:r w:rsidRPr="004D12BA">
        <w:rPr>
          <w:rFonts w:eastAsia="Times New Roman" w:cs="Arial"/>
          <w:color w:val="000000" w:themeColor="text1"/>
          <w:szCs w:val="24"/>
          <w:lang w:eastAsia="pt-BR"/>
        </w:rPr>
        <w:t xml:space="preserve"> para T24</w:t>
      </w:r>
      <w:r w:rsidR="004D12BA">
        <w:rPr>
          <w:rFonts w:eastAsia="Times New Roman" w:cs="Arial"/>
          <w:color w:val="000000" w:themeColor="text1"/>
          <w:szCs w:val="24"/>
          <w:lang w:eastAsia="pt-BR"/>
        </w:rPr>
        <w:t>.</w:t>
      </w:r>
    </w:p>
    <w:p w14:paraId="6F516D8F" w14:textId="77777777" w:rsidR="005518FF" w:rsidRPr="006600EA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6600EA">
        <w:rPr>
          <w:rFonts w:eastAsia="Times New Roman" w:cs="Arial"/>
          <w:color w:val="000000" w:themeColor="text1"/>
          <w:szCs w:val="24"/>
          <w:lang w:eastAsia="pt-BR"/>
        </w:rPr>
        <w:t>T23 – Providenciar a publicação do extrato da sanção</w:t>
      </w:r>
    </w:p>
    <w:p w14:paraId="66A43F21" w14:textId="5F4E5D34" w:rsidR="003E7A7D" w:rsidRPr="006600EA" w:rsidRDefault="00DE6223" w:rsidP="003E7A7D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6600EA">
        <w:rPr>
          <w:rFonts w:eastAsia="Times New Roman" w:cs="Arial"/>
          <w:color w:val="000000" w:themeColor="text1"/>
          <w:szCs w:val="24"/>
          <w:lang w:eastAsia="pt-BR"/>
        </w:rPr>
        <w:t>O</w:t>
      </w:r>
      <w:r w:rsidR="00DC0D6E" w:rsidRPr="006600EA">
        <w:rPr>
          <w:rFonts w:eastAsia="Times New Roman" w:cs="Arial"/>
          <w:color w:val="000000" w:themeColor="text1"/>
          <w:szCs w:val="24"/>
          <w:lang w:eastAsia="pt-BR"/>
        </w:rPr>
        <w:t xml:space="preserve"> extrato</w:t>
      </w:r>
      <w:r w:rsidRPr="006600EA">
        <w:rPr>
          <w:rFonts w:eastAsia="Times New Roman" w:cs="Arial"/>
          <w:color w:val="000000" w:themeColor="text1"/>
          <w:szCs w:val="24"/>
          <w:lang w:eastAsia="pt-BR"/>
        </w:rPr>
        <w:t xml:space="preserve"> deve contemplar os elementos constantes do </w:t>
      </w:r>
      <w:r w:rsidR="003E7A7D" w:rsidRPr="006600EA">
        <w:rPr>
          <w:rFonts w:eastAsia="Times New Roman" w:cs="Arial"/>
          <w:color w:val="000000" w:themeColor="text1"/>
          <w:szCs w:val="24"/>
          <w:lang w:eastAsia="pt-BR"/>
        </w:rPr>
        <w:t xml:space="preserve">art. 94, </w:t>
      </w:r>
      <w:r w:rsidRPr="006600EA">
        <w:rPr>
          <w:rFonts w:eastAsia="Times New Roman" w:cs="Arial"/>
          <w:color w:val="000000" w:themeColor="text1"/>
          <w:szCs w:val="24"/>
          <w:lang w:eastAsia="pt-BR"/>
        </w:rPr>
        <w:t>incisos I a</w:t>
      </w:r>
      <w:r w:rsidR="003E7A7D" w:rsidRPr="006600EA">
        <w:rPr>
          <w:rFonts w:eastAsia="Times New Roman" w:cs="Arial"/>
          <w:color w:val="000000" w:themeColor="text1"/>
          <w:szCs w:val="24"/>
          <w:lang w:eastAsia="pt-BR"/>
        </w:rPr>
        <w:t xml:space="preserve"> IV da Portaria SEGER/PGE/SECONT n.º 49-R/2010</w:t>
      </w:r>
      <w:r w:rsidR="003E7A7D" w:rsidRPr="006600EA">
        <w:rPr>
          <w:rFonts w:cs="Arial"/>
          <w:color w:val="000000" w:themeColor="text1"/>
          <w:szCs w:val="24"/>
        </w:rPr>
        <w:t xml:space="preserve"> e </w:t>
      </w:r>
      <w:r w:rsidR="003E7A7D" w:rsidRPr="006600EA">
        <w:rPr>
          <w:rFonts w:eastAsia="Times New Roman" w:cs="Arial"/>
          <w:color w:val="000000" w:themeColor="text1"/>
          <w:szCs w:val="24"/>
          <w:lang w:eastAsia="pt-BR"/>
        </w:rPr>
        <w:t>deverá mencionar expressamente que fica resguardado o direito de recurso, informando o prazo para sua apresentação.</w:t>
      </w:r>
    </w:p>
    <w:p w14:paraId="4616B33F" w14:textId="1AA92736" w:rsidR="005518FF" w:rsidRPr="006600EA" w:rsidRDefault="00DE6223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6600EA">
        <w:rPr>
          <w:rFonts w:eastAsia="Times New Roman" w:cs="Arial"/>
          <w:color w:val="000000" w:themeColor="text1"/>
          <w:szCs w:val="24"/>
          <w:lang w:eastAsia="pt-BR"/>
        </w:rPr>
        <w:t xml:space="preserve">Em </w:t>
      </w:r>
      <w:r w:rsidR="003E7A7D" w:rsidRPr="006600EA">
        <w:rPr>
          <w:rFonts w:eastAsia="Times New Roman" w:cs="Arial"/>
          <w:color w:val="000000" w:themeColor="text1"/>
          <w:szCs w:val="24"/>
          <w:lang w:eastAsia="pt-BR"/>
        </w:rPr>
        <w:t xml:space="preserve">seguida </w:t>
      </w:r>
      <w:r w:rsidRPr="006600EA">
        <w:rPr>
          <w:rFonts w:eastAsia="Times New Roman" w:cs="Arial"/>
          <w:color w:val="000000" w:themeColor="text1"/>
          <w:szCs w:val="24"/>
          <w:lang w:eastAsia="pt-BR"/>
        </w:rPr>
        <w:t>e</w:t>
      </w:r>
      <w:r w:rsidR="005518FF" w:rsidRPr="006600EA">
        <w:rPr>
          <w:rFonts w:eastAsia="Times New Roman" w:cs="Arial"/>
          <w:color w:val="000000" w:themeColor="text1"/>
          <w:szCs w:val="24"/>
          <w:lang w:eastAsia="pt-BR"/>
        </w:rPr>
        <w:t>xecutar as tarefas previstas em T25 e T26 e</w:t>
      </w:r>
      <w:r w:rsidR="00875EFC" w:rsidRPr="006600EA">
        <w:rPr>
          <w:rFonts w:eastAsia="Times New Roman" w:cs="Arial"/>
          <w:color w:val="000000" w:themeColor="text1"/>
          <w:szCs w:val="24"/>
          <w:lang w:eastAsia="pt-BR"/>
        </w:rPr>
        <w:t>nquanto</w:t>
      </w:r>
      <w:r w:rsidR="005518FF" w:rsidRPr="006600EA">
        <w:rPr>
          <w:rFonts w:eastAsia="Times New Roman" w:cs="Arial"/>
          <w:color w:val="000000" w:themeColor="text1"/>
          <w:szCs w:val="24"/>
          <w:lang w:eastAsia="pt-BR"/>
        </w:rPr>
        <w:t xml:space="preserve"> </w:t>
      </w:r>
      <w:r w:rsidR="00875EFC" w:rsidRPr="006600EA">
        <w:rPr>
          <w:rFonts w:eastAsia="Times New Roman" w:cs="Arial"/>
          <w:color w:val="000000" w:themeColor="text1"/>
          <w:szCs w:val="24"/>
          <w:lang w:eastAsia="pt-BR"/>
        </w:rPr>
        <w:t>aguarda</w:t>
      </w:r>
      <w:r w:rsidR="005518FF" w:rsidRPr="006600EA">
        <w:rPr>
          <w:rFonts w:eastAsia="Times New Roman" w:cs="Arial"/>
          <w:color w:val="000000" w:themeColor="text1"/>
          <w:szCs w:val="24"/>
          <w:lang w:eastAsia="pt-BR"/>
        </w:rPr>
        <w:t xml:space="preserve"> eventual recurso da empresa após a publicação, </w:t>
      </w:r>
      <w:r w:rsidR="006600EA" w:rsidRPr="006600EA">
        <w:rPr>
          <w:rFonts w:eastAsia="Times New Roman" w:cs="Arial"/>
          <w:color w:val="000000" w:themeColor="text1"/>
          <w:szCs w:val="24"/>
          <w:lang w:eastAsia="pt-BR"/>
        </w:rPr>
        <w:t xml:space="preserve">sendo os prazos </w:t>
      </w:r>
      <w:r w:rsidRPr="006600EA">
        <w:rPr>
          <w:rFonts w:eastAsia="Times New Roman" w:cs="Arial"/>
          <w:color w:val="000000" w:themeColor="text1"/>
          <w:szCs w:val="24"/>
          <w:lang w:eastAsia="pt-BR"/>
        </w:rPr>
        <w:t>de</w:t>
      </w:r>
      <w:r w:rsidR="005518FF" w:rsidRPr="006600EA">
        <w:rPr>
          <w:rFonts w:eastAsia="Times New Roman" w:cs="Arial"/>
          <w:color w:val="000000" w:themeColor="text1"/>
          <w:szCs w:val="24"/>
          <w:lang w:eastAsia="pt-BR"/>
        </w:rPr>
        <w:t>:</w:t>
      </w:r>
    </w:p>
    <w:p w14:paraId="6FE7650E" w14:textId="77777777" w:rsidR="005518FF" w:rsidRPr="006600EA" w:rsidRDefault="005518FF" w:rsidP="00EF34DE">
      <w:pPr>
        <w:widowControl w:val="0"/>
        <w:numPr>
          <w:ilvl w:val="0"/>
          <w:numId w:val="12"/>
        </w:numPr>
        <w:ind w:left="357" w:hanging="357"/>
        <w:rPr>
          <w:rFonts w:eastAsia="Times New Roman" w:cs="Arial"/>
          <w:color w:val="000000" w:themeColor="text1"/>
          <w:szCs w:val="24"/>
          <w:lang w:eastAsia="pt-BR"/>
        </w:rPr>
      </w:pPr>
      <w:r w:rsidRPr="006600EA">
        <w:rPr>
          <w:rFonts w:eastAsia="Times New Roman" w:cs="Arial"/>
          <w:color w:val="000000" w:themeColor="text1"/>
          <w:szCs w:val="24"/>
          <w:lang w:eastAsia="pt-BR"/>
        </w:rPr>
        <w:t>5 (cinco) dias uteis: para advertência, multa, suspensão e impedimento.</w:t>
      </w:r>
    </w:p>
    <w:p w14:paraId="1B1CBCE1" w14:textId="77777777" w:rsidR="005518FF" w:rsidRPr="006600EA" w:rsidRDefault="005518FF" w:rsidP="00EF34DE">
      <w:pPr>
        <w:widowControl w:val="0"/>
        <w:numPr>
          <w:ilvl w:val="0"/>
          <w:numId w:val="12"/>
        </w:numPr>
        <w:ind w:left="357" w:hanging="357"/>
        <w:rPr>
          <w:rFonts w:eastAsia="Times New Roman" w:cs="Arial"/>
          <w:color w:val="000000" w:themeColor="text1"/>
          <w:szCs w:val="24"/>
          <w:lang w:eastAsia="pt-BR"/>
        </w:rPr>
      </w:pPr>
      <w:r w:rsidRPr="006600EA">
        <w:rPr>
          <w:rFonts w:eastAsia="Times New Roman" w:cs="Arial"/>
          <w:color w:val="000000" w:themeColor="text1"/>
          <w:szCs w:val="24"/>
          <w:lang w:eastAsia="pt-BR"/>
        </w:rPr>
        <w:t>10 (dez) dias uteis: para declaração de inidoneidade.</w:t>
      </w:r>
    </w:p>
    <w:p w14:paraId="3886C1B4" w14:textId="595B1DC2" w:rsidR="005518FF" w:rsidRPr="002A07A0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6600EA">
        <w:rPr>
          <w:rFonts w:eastAsia="Times New Roman" w:cs="Arial"/>
          <w:color w:val="000000" w:themeColor="text1"/>
          <w:szCs w:val="24"/>
          <w:lang w:eastAsia="pt-BR"/>
        </w:rPr>
        <w:t>Não havendo recurso, seguir para T</w:t>
      </w:r>
      <w:r w:rsidR="00114363" w:rsidRPr="006600EA">
        <w:rPr>
          <w:rFonts w:eastAsia="Times New Roman" w:cs="Arial"/>
          <w:color w:val="000000" w:themeColor="text1"/>
          <w:szCs w:val="24"/>
          <w:lang w:eastAsia="pt-BR"/>
        </w:rPr>
        <w:t>27</w:t>
      </w:r>
      <w:r w:rsidRPr="006600EA">
        <w:rPr>
          <w:rFonts w:eastAsia="Times New Roman" w:cs="Arial"/>
          <w:color w:val="000000" w:themeColor="text1"/>
          <w:szCs w:val="24"/>
          <w:lang w:eastAsia="pt-BR"/>
        </w:rPr>
        <w:t xml:space="preserve">. Caso </w:t>
      </w:r>
      <w:r w:rsidRPr="002A07A0">
        <w:rPr>
          <w:rFonts w:eastAsia="Times New Roman" w:cs="Arial"/>
          <w:color w:val="000000" w:themeColor="text1"/>
          <w:szCs w:val="24"/>
          <w:lang w:eastAsia="pt-BR"/>
        </w:rPr>
        <w:t>contrário, seguir para T</w:t>
      </w:r>
      <w:r w:rsidR="00114363" w:rsidRPr="002A07A0">
        <w:rPr>
          <w:rFonts w:eastAsia="Times New Roman" w:cs="Arial"/>
          <w:color w:val="000000" w:themeColor="text1"/>
          <w:szCs w:val="24"/>
          <w:lang w:eastAsia="pt-BR"/>
        </w:rPr>
        <w:t>28</w:t>
      </w:r>
      <w:r w:rsidRPr="002A07A0">
        <w:rPr>
          <w:rFonts w:eastAsia="Times New Roman" w:cs="Arial"/>
          <w:color w:val="000000" w:themeColor="text1"/>
          <w:szCs w:val="24"/>
          <w:lang w:eastAsia="pt-BR"/>
        </w:rPr>
        <w:t>.</w:t>
      </w:r>
    </w:p>
    <w:p w14:paraId="24C1F88C" w14:textId="77777777" w:rsidR="005518FF" w:rsidRPr="002A07A0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2A07A0">
        <w:rPr>
          <w:rFonts w:eastAsia="Times New Roman" w:cs="Arial"/>
          <w:color w:val="000000" w:themeColor="text1"/>
          <w:szCs w:val="24"/>
          <w:lang w:eastAsia="pt-BR"/>
        </w:rPr>
        <w:t>T24 – Cientificar a empresa</w:t>
      </w:r>
    </w:p>
    <w:p w14:paraId="20FFF950" w14:textId="59E1D9F7" w:rsidR="006D51AA" w:rsidRPr="002A07A0" w:rsidRDefault="006D51AA" w:rsidP="006D51AA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2A07A0">
        <w:rPr>
          <w:rFonts w:cs="Arial"/>
          <w:color w:val="000000" w:themeColor="text1"/>
          <w:szCs w:val="24"/>
        </w:rPr>
        <w:t xml:space="preserve">A ciência à empresa </w:t>
      </w:r>
      <w:r w:rsidRPr="002A07A0">
        <w:rPr>
          <w:rFonts w:eastAsia="Times New Roman" w:cs="Arial"/>
          <w:color w:val="000000" w:themeColor="text1"/>
          <w:szCs w:val="24"/>
          <w:lang w:eastAsia="pt-BR"/>
        </w:rPr>
        <w:t>deverá mencionar expressamente que fica resguardado o direito de recurso, informando o prazo para sua apresentação.</w:t>
      </w:r>
    </w:p>
    <w:p w14:paraId="170C3AD2" w14:textId="412094FF" w:rsidR="006D51AA" w:rsidRPr="002A07A0" w:rsidRDefault="006D51AA" w:rsidP="006D51AA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2A07A0">
        <w:rPr>
          <w:rFonts w:eastAsia="Times New Roman" w:cs="Arial"/>
          <w:color w:val="000000" w:themeColor="text1"/>
          <w:szCs w:val="24"/>
          <w:lang w:eastAsia="pt-BR"/>
        </w:rPr>
        <w:t xml:space="preserve">Em seguida executar as tarefas previstas em T25 e T26 enquanto aguarda eventual recurso da empresa após a publicação, </w:t>
      </w:r>
      <w:r w:rsidR="00732A3B">
        <w:rPr>
          <w:rFonts w:eastAsia="Times New Roman" w:cs="Arial"/>
          <w:color w:val="000000" w:themeColor="text1"/>
          <w:szCs w:val="24"/>
          <w:lang w:eastAsia="pt-BR"/>
        </w:rPr>
        <w:t>no prazo de 5 (cinco) dias úteis.</w:t>
      </w:r>
    </w:p>
    <w:p w14:paraId="5824C0E1" w14:textId="77777777" w:rsidR="006D51AA" w:rsidRPr="002A07A0" w:rsidRDefault="006D51AA" w:rsidP="006D51AA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2A07A0">
        <w:rPr>
          <w:rFonts w:eastAsia="Times New Roman" w:cs="Arial"/>
          <w:color w:val="000000" w:themeColor="text1"/>
          <w:szCs w:val="24"/>
          <w:lang w:eastAsia="pt-BR"/>
        </w:rPr>
        <w:t>Não havendo recurso, seguir para T27. Caso contrário, seguir para T28.</w:t>
      </w:r>
    </w:p>
    <w:p w14:paraId="4068EAC0" w14:textId="4941B39D" w:rsidR="005518FF" w:rsidRPr="00B012E7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012E7">
        <w:rPr>
          <w:rFonts w:eastAsia="Times New Roman" w:cs="Arial"/>
          <w:color w:val="000000" w:themeColor="text1"/>
          <w:szCs w:val="24"/>
          <w:lang w:eastAsia="pt-BR"/>
        </w:rPr>
        <w:lastRenderedPageBreak/>
        <w:t xml:space="preserve">T25 – Registrar sanção no </w:t>
      </w:r>
      <w:r w:rsidR="00B13B8C">
        <w:rPr>
          <w:rFonts w:eastAsia="Times New Roman" w:cs="Arial"/>
          <w:color w:val="000000" w:themeColor="text1"/>
          <w:szCs w:val="24"/>
          <w:lang w:eastAsia="pt-BR"/>
        </w:rPr>
        <w:t>SIGA</w:t>
      </w:r>
    </w:p>
    <w:p w14:paraId="5924C985" w14:textId="325C73C5" w:rsidR="002F588C" w:rsidRPr="00B012E7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012E7">
        <w:rPr>
          <w:rFonts w:eastAsia="Times New Roman" w:cs="Arial"/>
          <w:color w:val="000000" w:themeColor="text1"/>
          <w:szCs w:val="24"/>
          <w:lang w:eastAsia="pt-BR"/>
        </w:rPr>
        <w:t xml:space="preserve">O responsável pela apuração fará o registro da sanção </w:t>
      </w:r>
      <w:r w:rsidR="006D51AA" w:rsidRPr="00B012E7">
        <w:rPr>
          <w:rFonts w:eastAsia="Times New Roman" w:cs="Arial"/>
          <w:color w:val="000000" w:themeColor="text1"/>
          <w:szCs w:val="24"/>
          <w:lang w:eastAsia="pt-BR"/>
        </w:rPr>
        <w:t>diretamente no SIGA</w:t>
      </w:r>
      <w:r w:rsidR="00B012E7" w:rsidRPr="00B012E7">
        <w:rPr>
          <w:rFonts w:eastAsia="Times New Roman" w:cs="Arial"/>
          <w:color w:val="000000" w:themeColor="text1"/>
          <w:szCs w:val="24"/>
          <w:lang w:eastAsia="pt-BR"/>
        </w:rPr>
        <w:t>,</w:t>
      </w:r>
      <w:r w:rsidR="002F588C" w:rsidRPr="00B012E7">
        <w:rPr>
          <w:rFonts w:eastAsia="Times New Roman" w:cs="Arial"/>
          <w:color w:val="000000" w:themeColor="text1"/>
          <w:szCs w:val="24"/>
          <w:lang w:eastAsia="pt-BR"/>
        </w:rPr>
        <w:t xml:space="preserve"> juntando </w:t>
      </w:r>
      <w:r w:rsidRPr="00B012E7">
        <w:rPr>
          <w:rFonts w:eastAsia="Times New Roman" w:cs="Arial"/>
          <w:color w:val="000000" w:themeColor="text1"/>
          <w:szCs w:val="24"/>
          <w:lang w:eastAsia="pt-BR"/>
        </w:rPr>
        <w:t>o comprovante aos autos.</w:t>
      </w:r>
      <w:r w:rsidR="00EC23D8" w:rsidRPr="00B012E7">
        <w:rPr>
          <w:rFonts w:eastAsia="Times New Roman" w:cs="Arial"/>
          <w:color w:val="000000" w:themeColor="text1"/>
          <w:szCs w:val="24"/>
          <w:lang w:eastAsia="pt-BR"/>
        </w:rPr>
        <w:t xml:space="preserve"> </w:t>
      </w:r>
    </w:p>
    <w:p w14:paraId="445CCB42" w14:textId="77777777" w:rsidR="005518FF" w:rsidRPr="008A54CB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8A54CB">
        <w:rPr>
          <w:rFonts w:eastAsia="Times New Roman" w:cs="Arial"/>
          <w:color w:val="000000" w:themeColor="text1"/>
          <w:szCs w:val="24"/>
          <w:lang w:eastAsia="pt-BR"/>
        </w:rPr>
        <w:t>T26 – Solicitar à SEGER o registro da sanção no CEIS (CGU), se for o caso</w:t>
      </w:r>
    </w:p>
    <w:p w14:paraId="78C3B23D" w14:textId="5D894BE9" w:rsidR="00103167" w:rsidRPr="008A54CB" w:rsidRDefault="00103167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8A54CB">
        <w:rPr>
          <w:rFonts w:eastAsia="Times New Roman" w:cs="Arial"/>
          <w:color w:val="000000" w:themeColor="text1"/>
          <w:szCs w:val="24"/>
          <w:lang w:eastAsia="pt-BR"/>
        </w:rPr>
        <w:t>Solic</w:t>
      </w:r>
      <w:r w:rsidR="00F32658" w:rsidRPr="008A54CB">
        <w:rPr>
          <w:rFonts w:eastAsia="Times New Roman" w:cs="Arial"/>
          <w:color w:val="000000" w:themeColor="text1"/>
          <w:szCs w:val="24"/>
          <w:lang w:eastAsia="pt-BR"/>
        </w:rPr>
        <w:t>i</w:t>
      </w:r>
      <w:r w:rsidR="000E52A0" w:rsidRPr="008A54CB">
        <w:rPr>
          <w:rFonts w:eastAsia="Times New Roman" w:cs="Arial"/>
          <w:color w:val="000000" w:themeColor="text1"/>
          <w:szCs w:val="24"/>
          <w:lang w:eastAsia="pt-BR"/>
        </w:rPr>
        <w:t>tar o registro à</w:t>
      </w:r>
      <w:r w:rsidRPr="008A54CB">
        <w:rPr>
          <w:rFonts w:eastAsia="Times New Roman" w:cs="Arial"/>
          <w:color w:val="000000" w:themeColor="text1"/>
          <w:szCs w:val="24"/>
          <w:lang w:eastAsia="pt-BR"/>
        </w:rPr>
        <w:t xml:space="preserve"> Subgerência de Cadastro de Fornecedores – SUCAF/GELIC/SEGER</w:t>
      </w:r>
      <w:r w:rsidRPr="008A54CB">
        <w:rPr>
          <w:rFonts w:cs="Arial"/>
          <w:color w:val="000000" w:themeColor="text1"/>
          <w:szCs w:val="24"/>
        </w:rPr>
        <w:t xml:space="preserve">, </w:t>
      </w:r>
      <w:r w:rsidR="00F32658" w:rsidRPr="008A54CB">
        <w:rPr>
          <w:rFonts w:cs="Arial"/>
          <w:color w:val="000000" w:themeColor="text1"/>
          <w:szCs w:val="24"/>
        </w:rPr>
        <w:t>por meio de ofício ou mensagem eletrônica</w:t>
      </w:r>
      <w:r w:rsidRPr="008A54CB">
        <w:rPr>
          <w:rFonts w:cs="Arial"/>
          <w:color w:val="000000" w:themeColor="text1"/>
          <w:szCs w:val="24"/>
        </w:rPr>
        <w:t xml:space="preserve">, juntamente com a cópia da </w:t>
      </w:r>
      <w:r w:rsidR="00F32658" w:rsidRPr="008A54CB">
        <w:rPr>
          <w:rFonts w:cs="Arial"/>
          <w:color w:val="000000" w:themeColor="text1"/>
          <w:szCs w:val="24"/>
        </w:rPr>
        <w:t>publicação do extrato da sanção</w:t>
      </w:r>
      <w:r w:rsidR="000E52A0" w:rsidRPr="008A54CB">
        <w:rPr>
          <w:rFonts w:cs="Arial"/>
          <w:color w:val="000000" w:themeColor="text1"/>
          <w:szCs w:val="24"/>
        </w:rPr>
        <w:t xml:space="preserve">, não havendo </w:t>
      </w:r>
      <w:r w:rsidRPr="008A54CB">
        <w:rPr>
          <w:rFonts w:cs="Arial"/>
          <w:color w:val="000000" w:themeColor="text1"/>
          <w:szCs w:val="24"/>
        </w:rPr>
        <w:t xml:space="preserve">necessidade da remessa dos autos, </w:t>
      </w:r>
      <w:r w:rsidRPr="008A54CB">
        <w:rPr>
          <w:rFonts w:eastAsia="Times New Roman" w:cs="Arial"/>
          <w:color w:val="000000" w:themeColor="text1"/>
          <w:szCs w:val="24"/>
          <w:lang w:eastAsia="pt-BR"/>
        </w:rPr>
        <w:t>para o respectivo registro no Cadastro Nacional de Empresas Inidôneas e Suspensas</w:t>
      </w:r>
      <w:r w:rsidR="00F32658" w:rsidRPr="008A54CB">
        <w:rPr>
          <w:rFonts w:eastAsia="Times New Roman" w:cs="Arial"/>
          <w:color w:val="000000" w:themeColor="text1"/>
          <w:szCs w:val="24"/>
          <w:lang w:eastAsia="pt-BR"/>
        </w:rPr>
        <w:t xml:space="preserve"> (CEIS) da Cont</w:t>
      </w:r>
      <w:r w:rsidR="00C853A0">
        <w:rPr>
          <w:rFonts w:eastAsia="Times New Roman" w:cs="Arial"/>
          <w:color w:val="000000" w:themeColor="text1"/>
          <w:szCs w:val="24"/>
          <w:lang w:eastAsia="pt-BR"/>
        </w:rPr>
        <w:t>roladoria Geral da União (CGU), conforme §2º do art. 94 da Portaria SEGER/PGE/SECONT n.º 49-R/2010.</w:t>
      </w:r>
    </w:p>
    <w:p w14:paraId="0699BF28" w14:textId="19554416" w:rsidR="005518FF" w:rsidRPr="009E54D4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9E54D4">
        <w:rPr>
          <w:rFonts w:eastAsia="Times New Roman" w:cs="Arial"/>
          <w:color w:val="000000" w:themeColor="text1"/>
          <w:szCs w:val="24"/>
          <w:lang w:eastAsia="pt-BR"/>
        </w:rPr>
        <w:t xml:space="preserve">T27 – </w:t>
      </w:r>
      <w:r w:rsidR="008B6D1F">
        <w:rPr>
          <w:rFonts w:eastAsia="Times New Roman" w:cs="Arial"/>
          <w:color w:val="000000" w:themeColor="text1"/>
          <w:szCs w:val="24"/>
          <w:lang w:eastAsia="pt-BR"/>
        </w:rPr>
        <w:t>A</w:t>
      </w:r>
      <w:r w:rsidRPr="009E54D4">
        <w:rPr>
          <w:rFonts w:eastAsia="Times New Roman" w:cs="Arial"/>
          <w:color w:val="000000" w:themeColor="text1"/>
          <w:szCs w:val="24"/>
          <w:lang w:eastAsia="pt-BR"/>
        </w:rPr>
        <w:t>pensar ao processo original</w:t>
      </w:r>
    </w:p>
    <w:p w14:paraId="534711B6" w14:textId="77777777" w:rsidR="005518FF" w:rsidRPr="009E54D4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9E54D4">
        <w:rPr>
          <w:rFonts w:eastAsia="Times New Roman" w:cs="Arial"/>
          <w:color w:val="000000" w:themeColor="text1"/>
          <w:szCs w:val="24"/>
          <w:lang w:eastAsia="pt-BR"/>
        </w:rPr>
        <w:t>T28 – Elaborar manifestação</w:t>
      </w:r>
    </w:p>
    <w:p w14:paraId="75C1CEA9" w14:textId="3C62CAC3" w:rsidR="00DB459C" w:rsidRDefault="00DB459C" w:rsidP="00DB459C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9E54D4">
        <w:rPr>
          <w:rFonts w:eastAsia="Times New Roman" w:cs="Arial"/>
          <w:color w:val="000000" w:themeColor="text1"/>
          <w:szCs w:val="24"/>
          <w:lang w:eastAsia="pt-BR"/>
        </w:rPr>
        <w:t>O responsável pela apuração elaborará manifestação fundamentada quanto ao recurso, com sugestão pela manutenção ou não da sanção e encaminhará o processo para apreciação da Autoridade Competente.</w:t>
      </w:r>
    </w:p>
    <w:p w14:paraId="17CF4CE4" w14:textId="326C43B6" w:rsidR="007A0AAA" w:rsidRPr="009E54D4" w:rsidRDefault="007A0AAA" w:rsidP="00DB459C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>
        <w:rPr>
          <w:rFonts w:eastAsia="Times New Roman" w:cs="Arial"/>
          <w:color w:val="000000" w:themeColor="text1"/>
          <w:szCs w:val="24"/>
          <w:lang w:eastAsia="pt-BR"/>
        </w:rPr>
        <w:t>Nessa tarefa, deverão ser observadas as orientações contidas no item 7.1.</w:t>
      </w:r>
    </w:p>
    <w:p w14:paraId="61E65325" w14:textId="05A84C61" w:rsidR="00CB24B8" w:rsidRPr="009E54D4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9E54D4">
        <w:rPr>
          <w:rFonts w:eastAsia="Times New Roman" w:cs="Arial"/>
          <w:color w:val="000000" w:themeColor="text1"/>
          <w:szCs w:val="24"/>
          <w:lang w:eastAsia="pt-BR"/>
        </w:rPr>
        <w:t>T29 – Decidir motivadamente acatando ou não a manifestação</w:t>
      </w:r>
    </w:p>
    <w:p w14:paraId="56826BB7" w14:textId="174195CC" w:rsidR="005518FF" w:rsidRPr="00BF46F6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F46F6">
        <w:rPr>
          <w:rFonts w:eastAsia="Times New Roman" w:cs="Arial"/>
          <w:color w:val="000000" w:themeColor="text1"/>
          <w:szCs w:val="24"/>
          <w:lang w:eastAsia="pt-BR"/>
        </w:rPr>
        <w:t xml:space="preserve">A Autoridade Competente </w:t>
      </w:r>
      <w:r w:rsidR="00CB24B8" w:rsidRPr="00BF46F6">
        <w:rPr>
          <w:rFonts w:eastAsia="Times New Roman" w:cs="Arial"/>
          <w:color w:val="000000" w:themeColor="text1"/>
          <w:szCs w:val="24"/>
          <w:lang w:eastAsia="pt-BR"/>
        </w:rPr>
        <w:t>a</w:t>
      </w:r>
      <w:r w:rsidRPr="00BF46F6">
        <w:rPr>
          <w:rFonts w:eastAsia="Times New Roman" w:cs="Arial"/>
          <w:color w:val="000000" w:themeColor="text1"/>
          <w:szCs w:val="24"/>
          <w:lang w:eastAsia="pt-BR"/>
        </w:rPr>
        <w:t>catará ou não a manifestação do responsável pela apuração.</w:t>
      </w:r>
    </w:p>
    <w:p w14:paraId="646B3F18" w14:textId="6F8DBD82" w:rsidR="005518FF" w:rsidRPr="00BF46F6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F46F6">
        <w:rPr>
          <w:rFonts w:eastAsia="Times New Roman" w:cs="Arial"/>
          <w:color w:val="000000" w:themeColor="text1"/>
          <w:szCs w:val="24"/>
          <w:lang w:eastAsia="pt-BR"/>
        </w:rPr>
        <w:t>Decidindo pela manutenção da sanção, os autos devem ser encaminhados à Procuradoria Geral do Estado – PGE, ou unidade equivalente em se tratando de entidades da Administração Indireta, para parecer jurídico acerca do deferimento ou não do recurso, conf</w:t>
      </w:r>
      <w:r w:rsidR="00BF46F6" w:rsidRPr="00BF46F6">
        <w:rPr>
          <w:rFonts w:eastAsia="Times New Roman" w:cs="Arial"/>
          <w:color w:val="000000" w:themeColor="text1"/>
          <w:szCs w:val="24"/>
          <w:lang w:eastAsia="pt-BR"/>
        </w:rPr>
        <w:t xml:space="preserve">orme parágrafo único do art. </w:t>
      </w:r>
      <w:r w:rsidR="00103167" w:rsidRPr="00BF46F6">
        <w:rPr>
          <w:rFonts w:eastAsia="Times New Roman" w:cs="Arial"/>
          <w:color w:val="000000" w:themeColor="text1"/>
          <w:szCs w:val="24"/>
          <w:lang w:eastAsia="pt-BR"/>
        </w:rPr>
        <w:t xml:space="preserve">97 </w:t>
      </w:r>
      <w:r w:rsidRPr="00BF46F6">
        <w:rPr>
          <w:rFonts w:eastAsia="Times New Roman" w:cs="Arial"/>
          <w:color w:val="000000" w:themeColor="text1"/>
          <w:szCs w:val="24"/>
          <w:lang w:eastAsia="pt-BR"/>
        </w:rPr>
        <w:t>da Portaria SEGER/PGE/SECONT n.º 49-R/2010.</w:t>
      </w:r>
    </w:p>
    <w:p w14:paraId="01605FFA" w14:textId="05C20481" w:rsidR="005518FF" w:rsidRPr="00AD041F" w:rsidRDefault="005518FF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AD041F">
        <w:rPr>
          <w:rFonts w:eastAsia="Times New Roman" w:cs="Arial"/>
          <w:color w:val="000000" w:themeColor="text1"/>
          <w:szCs w:val="24"/>
          <w:lang w:eastAsia="pt-BR"/>
        </w:rPr>
        <w:t>Se a decisão for pela reconsideração e não manutenção da sanção</w:t>
      </w:r>
      <w:r w:rsidR="00BF46F6" w:rsidRPr="00AD041F">
        <w:rPr>
          <w:rFonts w:eastAsia="Times New Roman" w:cs="Arial"/>
          <w:color w:val="000000" w:themeColor="text1"/>
          <w:szCs w:val="24"/>
          <w:lang w:eastAsia="pt-BR"/>
        </w:rPr>
        <w:t>, nos termos do §4º do art. 109 da Lei 8.666/1993</w:t>
      </w:r>
      <w:r w:rsidRPr="00AD041F">
        <w:rPr>
          <w:rFonts w:eastAsia="Times New Roman" w:cs="Arial"/>
          <w:color w:val="000000" w:themeColor="text1"/>
          <w:szCs w:val="24"/>
          <w:lang w:eastAsia="pt-BR"/>
        </w:rPr>
        <w:t>, seguir para T30.</w:t>
      </w:r>
    </w:p>
    <w:p w14:paraId="7ED36DF2" w14:textId="0FA57F0B" w:rsidR="005518FF" w:rsidRPr="00DB28FD" w:rsidRDefault="00B6302B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DB28FD">
        <w:rPr>
          <w:rFonts w:eastAsia="Times New Roman" w:cs="Arial"/>
          <w:color w:val="000000" w:themeColor="text1"/>
          <w:szCs w:val="24"/>
          <w:lang w:eastAsia="pt-BR"/>
        </w:rPr>
        <w:t>T30</w:t>
      </w:r>
      <w:r w:rsidR="005518FF" w:rsidRPr="00DB28FD">
        <w:rPr>
          <w:rFonts w:eastAsia="Times New Roman" w:cs="Arial"/>
          <w:color w:val="000000" w:themeColor="text1"/>
          <w:szCs w:val="24"/>
          <w:lang w:eastAsia="pt-BR"/>
        </w:rPr>
        <w:t xml:space="preserve"> – Emitir Parecer Jurídico</w:t>
      </w:r>
    </w:p>
    <w:p w14:paraId="102DCBA9" w14:textId="69B9049E" w:rsidR="005518FF" w:rsidRPr="00DB28FD" w:rsidRDefault="00B6302B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DB28FD">
        <w:rPr>
          <w:rFonts w:eastAsia="Times New Roman" w:cs="Arial"/>
          <w:color w:val="000000" w:themeColor="text1"/>
          <w:szCs w:val="24"/>
          <w:lang w:eastAsia="pt-BR"/>
        </w:rPr>
        <w:t>T31</w:t>
      </w:r>
      <w:r w:rsidR="005518FF" w:rsidRPr="00DB28FD">
        <w:rPr>
          <w:rFonts w:eastAsia="Times New Roman" w:cs="Arial"/>
          <w:color w:val="000000" w:themeColor="text1"/>
          <w:szCs w:val="24"/>
          <w:lang w:eastAsia="pt-BR"/>
        </w:rPr>
        <w:t>– Decidir motivadamente pelo deferimento ou indeferimento do recurso</w:t>
      </w:r>
    </w:p>
    <w:p w14:paraId="47EAD7DA" w14:textId="381E9F13" w:rsidR="005518FF" w:rsidRDefault="0059448E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DB28FD">
        <w:rPr>
          <w:rFonts w:eastAsia="Times New Roman" w:cs="Arial"/>
          <w:color w:val="000000" w:themeColor="text1"/>
          <w:szCs w:val="24"/>
          <w:lang w:eastAsia="pt-BR"/>
        </w:rPr>
        <w:t>T32</w:t>
      </w:r>
      <w:r w:rsidR="005518FF" w:rsidRPr="00DB28FD">
        <w:rPr>
          <w:rFonts w:eastAsia="Times New Roman" w:cs="Arial"/>
          <w:color w:val="000000" w:themeColor="text1"/>
          <w:szCs w:val="24"/>
          <w:lang w:eastAsia="pt-BR"/>
        </w:rPr>
        <w:t xml:space="preserve"> – Cientificar a empresa quanto à decisão recursal</w:t>
      </w:r>
    </w:p>
    <w:p w14:paraId="247B3F3E" w14:textId="2735EAAB" w:rsidR="00CC0ECC" w:rsidRPr="009E54D4" w:rsidRDefault="00CC0ECC" w:rsidP="00CC0ECC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>
        <w:rPr>
          <w:rFonts w:eastAsia="Times New Roman" w:cs="Arial"/>
          <w:color w:val="000000" w:themeColor="text1"/>
          <w:szCs w:val="24"/>
          <w:lang w:eastAsia="pt-BR"/>
        </w:rPr>
        <w:t>Nessa tarefa, deverão ser observadas as orientações contidas no item 7.1.2.</w:t>
      </w:r>
    </w:p>
    <w:p w14:paraId="1767AEA6" w14:textId="6375EE2F" w:rsidR="001443D6" w:rsidRPr="00DB28FD" w:rsidRDefault="0059448E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DB28FD">
        <w:rPr>
          <w:rFonts w:eastAsia="Times New Roman" w:cs="Arial"/>
          <w:color w:val="000000" w:themeColor="text1"/>
          <w:szCs w:val="24"/>
          <w:lang w:eastAsia="pt-BR"/>
        </w:rPr>
        <w:t>T33</w:t>
      </w:r>
      <w:r w:rsidR="005518FF" w:rsidRPr="00DB28FD">
        <w:rPr>
          <w:rFonts w:eastAsia="Times New Roman" w:cs="Arial"/>
          <w:color w:val="000000" w:themeColor="text1"/>
          <w:szCs w:val="24"/>
          <w:lang w:eastAsia="pt-BR"/>
        </w:rPr>
        <w:t xml:space="preserve"> – </w:t>
      </w:r>
      <w:r w:rsidR="008B6D1F" w:rsidRPr="00DB28FD">
        <w:rPr>
          <w:rFonts w:eastAsia="Times New Roman" w:cs="Arial"/>
          <w:color w:val="000000" w:themeColor="text1"/>
          <w:szCs w:val="24"/>
          <w:lang w:eastAsia="pt-BR"/>
        </w:rPr>
        <w:t>A</w:t>
      </w:r>
      <w:r w:rsidR="005518FF" w:rsidRPr="00DB28FD">
        <w:rPr>
          <w:rFonts w:eastAsia="Times New Roman" w:cs="Arial"/>
          <w:color w:val="000000" w:themeColor="text1"/>
          <w:szCs w:val="24"/>
          <w:lang w:eastAsia="pt-BR"/>
        </w:rPr>
        <w:t>pensar ao processo original</w:t>
      </w:r>
    </w:p>
    <w:p w14:paraId="140AEF5E" w14:textId="2CB72D99" w:rsidR="00B030F8" w:rsidRPr="00B13B8C" w:rsidRDefault="00B030F8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13B8C">
        <w:rPr>
          <w:rFonts w:eastAsia="Times New Roman" w:cs="Arial"/>
          <w:color w:val="000000" w:themeColor="text1"/>
          <w:szCs w:val="24"/>
          <w:lang w:eastAsia="pt-BR"/>
        </w:rPr>
        <w:t>T34 – Providenciar publicação do extrato da decisão recursal, se for o caso</w:t>
      </w:r>
      <w:r w:rsidR="00DB28FD" w:rsidRPr="00B13B8C">
        <w:rPr>
          <w:rFonts w:eastAsia="Times New Roman" w:cs="Arial"/>
          <w:color w:val="000000" w:themeColor="text1"/>
          <w:szCs w:val="24"/>
          <w:lang w:eastAsia="pt-BR"/>
        </w:rPr>
        <w:t>, e cientificar a empresa</w:t>
      </w:r>
    </w:p>
    <w:p w14:paraId="325EFA50" w14:textId="1C9CBF6E" w:rsidR="00B030F8" w:rsidRDefault="00B030F8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B13B8C">
        <w:rPr>
          <w:rFonts w:eastAsia="Times New Roman" w:cs="Arial"/>
          <w:color w:val="000000" w:themeColor="text1"/>
          <w:szCs w:val="24"/>
          <w:lang w:eastAsia="pt-BR"/>
        </w:rPr>
        <w:t>Para as sanções cujo</w:t>
      </w:r>
      <w:r w:rsidR="0060297D" w:rsidRPr="00B13B8C">
        <w:rPr>
          <w:rFonts w:eastAsia="Times New Roman" w:cs="Arial"/>
          <w:color w:val="000000" w:themeColor="text1"/>
          <w:szCs w:val="24"/>
          <w:lang w:eastAsia="pt-BR"/>
        </w:rPr>
        <w:t>s</w:t>
      </w:r>
      <w:r w:rsidRPr="00B13B8C">
        <w:rPr>
          <w:rFonts w:eastAsia="Times New Roman" w:cs="Arial"/>
          <w:color w:val="000000" w:themeColor="text1"/>
          <w:szCs w:val="24"/>
          <w:lang w:eastAsia="pt-BR"/>
        </w:rPr>
        <w:t xml:space="preserve"> extrato</w:t>
      </w:r>
      <w:r w:rsidR="0060297D" w:rsidRPr="00B13B8C">
        <w:rPr>
          <w:rFonts w:eastAsia="Times New Roman" w:cs="Arial"/>
          <w:color w:val="000000" w:themeColor="text1"/>
          <w:szCs w:val="24"/>
          <w:lang w:eastAsia="pt-BR"/>
        </w:rPr>
        <w:t>s</w:t>
      </w:r>
      <w:r w:rsidRPr="00B13B8C">
        <w:rPr>
          <w:rFonts w:eastAsia="Times New Roman" w:cs="Arial"/>
          <w:color w:val="000000" w:themeColor="text1"/>
          <w:szCs w:val="24"/>
          <w:lang w:eastAsia="pt-BR"/>
        </w:rPr>
        <w:t xml:space="preserve"> foram publicados, conforme T23, </w:t>
      </w:r>
      <w:r w:rsidR="00DB28FD" w:rsidRPr="00B13B8C">
        <w:rPr>
          <w:rFonts w:eastAsia="Times New Roman" w:cs="Arial"/>
          <w:color w:val="000000" w:themeColor="text1"/>
          <w:szCs w:val="24"/>
          <w:lang w:eastAsia="pt-BR"/>
        </w:rPr>
        <w:t>deve ser</w:t>
      </w:r>
      <w:r w:rsidRPr="00B13B8C">
        <w:rPr>
          <w:rFonts w:eastAsia="Times New Roman" w:cs="Arial"/>
          <w:color w:val="000000" w:themeColor="text1"/>
          <w:szCs w:val="24"/>
          <w:lang w:eastAsia="pt-BR"/>
        </w:rPr>
        <w:t xml:space="preserve"> da</w:t>
      </w:r>
      <w:r w:rsidR="00DB28FD" w:rsidRPr="00B13B8C">
        <w:rPr>
          <w:rFonts w:eastAsia="Times New Roman" w:cs="Arial"/>
          <w:color w:val="000000" w:themeColor="text1"/>
          <w:szCs w:val="24"/>
          <w:lang w:eastAsia="pt-BR"/>
        </w:rPr>
        <w:t>da</w:t>
      </w:r>
      <w:r w:rsidRPr="00B13B8C">
        <w:rPr>
          <w:rFonts w:eastAsia="Times New Roman" w:cs="Arial"/>
          <w:color w:val="000000" w:themeColor="text1"/>
          <w:szCs w:val="24"/>
          <w:lang w:eastAsia="pt-BR"/>
        </w:rPr>
        <w:t xml:space="preserve"> a mesma </w:t>
      </w:r>
      <w:r w:rsidR="00410A60">
        <w:rPr>
          <w:rFonts w:eastAsia="Times New Roman" w:cs="Arial"/>
          <w:color w:val="000000" w:themeColor="text1"/>
          <w:szCs w:val="24"/>
          <w:lang w:eastAsia="pt-BR"/>
        </w:rPr>
        <w:t>publicidade à decisão recursal.</w:t>
      </w:r>
    </w:p>
    <w:p w14:paraId="7A032D26" w14:textId="2A3107C6" w:rsidR="00410A60" w:rsidRPr="00B13B8C" w:rsidRDefault="00410A60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>
        <w:rPr>
          <w:rFonts w:eastAsia="Times New Roman" w:cs="Arial"/>
          <w:color w:val="000000" w:themeColor="text1"/>
          <w:szCs w:val="24"/>
          <w:lang w:eastAsia="pt-BR"/>
        </w:rPr>
        <w:lastRenderedPageBreak/>
        <w:t>A decisão recursal, juntamente com sua motivação, deve ser encaminhada à empresa para ciência.</w:t>
      </w:r>
    </w:p>
    <w:p w14:paraId="39B9F573" w14:textId="72C6E95E" w:rsidR="00B030F8" w:rsidRPr="00EE1B83" w:rsidRDefault="00B030F8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EE1B83">
        <w:rPr>
          <w:rFonts w:eastAsia="Times New Roman" w:cs="Arial"/>
          <w:color w:val="000000" w:themeColor="text1"/>
          <w:szCs w:val="24"/>
          <w:lang w:eastAsia="pt-BR"/>
        </w:rPr>
        <w:t xml:space="preserve">T35 – Atualizar o registro no </w:t>
      </w:r>
      <w:r w:rsidR="00B13B8C" w:rsidRPr="00EE1B83">
        <w:rPr>
          <w:rFonts w:eastAsia="Times New Roman" w:cs="Arial"/>
          <w:color w:val="000000" w:themeColor="text1"/>
          <w:szCs w:val="24"/>
          <w:lang w:eastAsia="pt-BR"/>
        </w:rPr>
        <w:t>SIGA</w:t>
      </w:r>
      <w:r w:rsidRPr="00EE1B83">
        <w:rPr>
          <w:rFonts w:eastAsia="Times New Roman" w:cs="Arial"/>
          <w:color w:val="000000" w:themeColor="text1"/>
          <w:szCs w:val="24"/>
          <w:lang w:eastAsia="pt-BR"/>
        </w:rPr>
        <w:t xml:space="preserve"> conforme decisão recursal</w:t>
      </w:r>
    </w:p>
    <w:p w14:paraId="0EB08FBA" w14:textId="19662C1B" w:rsidR="00B030F8" w:rsidRPr="00EE1B83" w:rsidRDefault="00B030F8" w:rsidP="00B030F8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EE1B83">
        <w:rPr>
          <w:rFonts w:eastAsia="Times New Roman" w:cs="Arial"/>
          <w:color w:val="000000" w:themeColor="text1"/>
          <w:szCs w:val="24"/>
          <w:lang w:eastAsia="pt-BR"/>
        </w:rPr>
        <w:t>O responsável pela apuração fará a atualização do registro da sanção diretamente no SIGA</w:t>
      </w:r>
      <w:r w:rsidR="00EE1B83" w:rsidRPr="00EE1B83">
        <w:rPr>
          <w:rFonts w:eastAsia="Times New Roman" w:cs="Arial"/>
          <w:color w:val="000000" w:themeColor="text1"/>
          <w:szCs w:val="24"/>
          <w:lang w:eastAsia="pt-BR"/>
        </w:rPr>
        <w:t>,</w:t>
      </w:r>
      <w:r w:rsidRPr="00EE1B83">
        <w:rPr>
          <w:rFonts w:eastAsia="Times New Roman" w:cs="Arial"/>
          <w:color w:val="000000" w:themeColor="text1"/>
          <w:szCs w:val="24"/>
          <w:lang w:eastAsia="pt-BR"/>
        </w:rPr>
        <w:t xml:space="preserve"> ju</w:t>
      </w:r>
      <w:r w:rsidR="00EE1B83" w:rsidRPr="00EE1B83">
        <w:rPr>
          <w:rFonts w:eastAsia="Times New Roman" w:cs="Arial"/>
          <w:color w:val="000000" w:themeColor="text1"/>
          <w:szCs w:val="24"/>
          <w:lang w:eastAsia="pt-BR"/>
        </w:rPr>
        <w:t>ntando o comprovante aos autos.</w:t>
      </w:r>
    </w:p>
    <w:p w14:paraId="175D02AB" w14:textId="706F869C" w:rsidR="00B030F8" w:rsidRPr="00EE1B83" w:rsidRDefault="00B030F8" w:rsidP="005518FF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EE1B83">
        <w:rPr>
          <w:rFonts w:eastAsia="Times New Roman" w:cs="Arial"/>
          <w:color w:val="000000" w:themeColor="text1"/>
          <w:szCs w:val="24"/>
          <w:lang w:eastAsia="pt-BR"/>
        </w:rPr>
        <w:t>T36 – Solicitar à SEGER atualização do registro no CEIS (CGU)</w:t>
      </w:r>
    </w:p>
    <w:p w14:paraId="517315D9" w14:textId="46703933" w:rsidR="00B030F8" w:rsidRPr="00014E58" w:rsidRDefault="00B030F8" w:rsidP="00B030F8">
      <w:pPr>
        <w:widowControl w:val="0"/>
        <w:rPr>
          <w:rFonts w:eastAsia="Times New Roman" w:cs="Arial"/>
          <w:color w:val="000000" w:themeColor="text1"/>
          <w:szCs w:val="24"/>
          <w:lang w:eastAsia="pt-BR"/>
        </w:rPr>
      </w:pPr>
      <w:r w:rsidRPr="00014E58">
        <w:rPr>
          <w:rFonts w:eastAsia="Times New Roman" w:cs="Arial"/>
          <w:color w:val="000000" w:themeColor="text1"/>
          <w:szCs w:val="24"/>
          <w:lang w:eastAsia="pt-BR"/>
        </w:rPr>
        <w:t>Solicitar a atualização do registro, conforme decisão recursal, à Subgerência de Cadastro de Fornecedores – SUCAF/GELIC/SEGER</w:t>
      </w:r>
      <w:r w:rsidRPr="00014E58">
        <w:rPr>
          <w:rFonts w:cs="Arial"/>
          <w:color w:val="000000" w:themeColor="text1"/>
          <w:szCs w:val="24"/>
        </w:rPr>
        <w:t xml:space="preserve">, por meio de ofício ou mensagem eletrônica, juntamente com a cópia da decisão ou de sua publicação, não havendo necessidade da remessa dos autos, </w:t>
      </w:r>
      <w:r w:rsidRPr="00014E58">
        <w:rPr>
          <w:rFonts w:eastAsia="Times New Roman" w:cs="Arial"/>
          <w:color w:val="000000" w:themeColor="text1"/>
          <w:szCs w:val="24"/>
          <w:lang w:eastAsia="pt-BR"/>
        </w:rPr>
        <w:t>para o respectivo registro no Cadastro Nacional de Empresas Inidôneas e Suspensas (CEIS) da Controladoria Geral d</w:t>
      </w:r>
      <w:r w:rsidR="005841DE">
        <w:rPr>
          <w:rFonts w:eastAsia="Times New Roman" w:cs="Arial"/>
          <w:color w:val="000000" w:themeColor="text1"/>
          <w:szCs w:val="24"/>
          <w:lang w:eastAsia="pt-BR"/>
        </w:rPr>
        <w:t>a União (CGU).</w:t>
      </w:r>
    </w:p>
    <w:p w14:paraId="4AB1819F" w14:textId="77777777" w:rsidR="00817313" w:rsidRDefault="00817313" w:rsidP="00375BE2">
      <w:pPr>
        <w:widowControl w:val="0"/>
      </w:pPr>
    </w:p>
    <w:p w14:paraId="16C67B51" w14:textId="77777777" w:rsidR="00F64EE7" w:rsidRDefault="00F64EE7" w:rsidP="00375BE2">
      <w:pPr>
        <w:pStyle w:val="N11"/>
        <w:widowControl w:val="0"/>
        <w:rPr>
          <w:noProof/>
          <w:lang w:eastAsia="pt-BR"/>
        </w:rPr>
        <w:sectPr w:rsidR="00F64EE7" w:rsidSect="00B02B2A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5775A200" w14:textId="65AB6D0A" w:rsidR="005A0B1A" w:rsidRDefault="00660D6E" w:rsidP="00375BE2">
      <w:pPr>
        <w:pStyle w:val="N11"/>
        <w:widowControl w:val="0"/>
        <w:rPr>
          <w:noProof/>
          <w:lang w:eastAsia="pt-BR"/>
        </w:rPr>
      </w:pPr>
      <w:r>
        <w:rPr>
          <w:noProof/>
          <w:lang w:eastAsia="pt-BR"/>
        </w:rPr>
        <w:lastRenderedPageBreak/>
        <w:pict w14:anchorId="71C10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05pt;height:375.05pt">
            <v:imagedata r:id="rId9" o:title="2019-03-25 - Aplicação de sanções administrativas" cropbottom="2404f" cropright="63f"/>
          </v:shape>
        </w:pict>
      </w:r>
    </w:p>
    <w:p w14:paraId="56D4B017" w14:textId="77777777" w:rsidR="00F64EE7" w:rsidRDefault="00F64EE7" w:rsidP="00375BE2">
      <w:pPr>
        <w:pStyle w:val="N11"/>
        <w:widowControl w:val="0"/>
        <w:rPr>
          <w:noProof/>
          <w:lang w:eastAsia="pt-BR"/>
        </w:rPr>
      </w:pPr>
    </w:p>
    <w:p w14:paraId="2005AA3F" w14:textId="77777777" w:rsidR="006F391F" w:rsidRDefault="006F391F" w:rsidP="00375BE2">
      <w:pPr>
        <w:pStyle w:val="N11"/>
        <w:widowControl w:val="0"/>
        <w:rPr>
          <w:noProof/>
          <w:lang w:eastAsia="pt-BR"/>
        </w:rPr>
        <w:sectPr w:rsidR="006F391F" w:rsidSect="003865F7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874573F" w14:textId="77777777" w:rsidR="00B6610C" w:rsidRPr="00670617" w:rsidRDefault="00B855B6" w:rsidP="00EF34DE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>
        <w:lastRenderedPageBreak/>
        <w:t>INFORMAÇÕES ADICIONAIS</w:t>
      </w:r>
    </w:p>
    <w:p w14:paraId="6243CD26" w14:textId="6C81A423" w:rsidR="00AD0E4E" w:rsidRPr="004E2C91" w:rsidRDefault="005E3098" w:rsidP="009124B7">
      <w:pPr>
        <w:pStyle w:val="N11"/>
        <w:numPr>
          <w:ilvl w:val="1"/>
          <w:numId w:val="9"/>
        </w:numPr>
        <w:ind w:left="567" w:hanging="567"/>
      </w:pPr>
      <w:r w:rsidRPr="004E2C91">
        <w:t>Quando do recebimento de recurso contra decisão de aplicação de sanção, o Órgão deverá avaliar a concessão ou não de efeito suspensivo, conforme o caso concreto</w:t>
      </w:r>
      <w:r w:rsidR="004E2C91">
        <w:t>, nos termos do §2º do art. 109 da Lei 8.666/1993</w:t>
      </w:r>
      <w:r w:rsidR="00A05A1D" w:rsidRPr="004E2C91">
        <w:t>.</w:t>
      </w:r>
    </w:p>
    <w:p w14:paraId="5E220CA9" w14:textId="77777777" w:rsidR="007B11B8" w:rsidRPr="007A0AAA" w:rsidRDefault="009F2015" w:rsidP="00270041">
      <w:pPr>
        <w:pStyle w:val="N111"/>
        <w:numPr>
          <w:ilvl w:val="2"/>
          <w:numId w:val="2"/>
        </w:numPr>
        <w:ind w:left="851" w:hanging="567"/>
        <w:rPr>
          <w:color w:val="000000" w:themeColor="text1"/>
        </w:rPr>
      </w:pPr>
      <w:r w:rsidRPr="007A0AAA">
        <w:rPr>
          <w:color w:val="000000" w:themeColor="text1"/>
        </w:rPr>
        <w:t>Concedido o efeito suspensivo, o Órgão deverá providenciar a publicação do extrato da decisão no Diário Oficial do Estado, além de inativar (e não excluir) a sanção no SIGA, registrando o motivo no campo próprio e comunicar à SUCAF para que proceda de igual forma em relação ao cadastro da sanção no CEIS (CGU), se for o caso.</w:t>
      </w:r>
    </w:p>
    <w:p w14:paraId="5B4C91C6" w14:textId="25E1BAD7" w:rsidR="009F2015" w:rsidRDefault="009934AA" w:rsidP="00994899">
      <w:pPr>
        <w:pStyle w:val="N111"/>
        <w:ind w:left="1418" w:hanging="851"/>
        <w:rPr>
          <w:color w:val="000000" w:themeColor="text1"/>
        </w:rPr>
      </w:pPr>
      <w:r>
        <w:rPr>
          <w:color w:val="000000" w:themeColor="text1"/>
        </w:rPr>
        <w:t xml:space="preserve">7.1.1.1 </w:t>
      </w:r>
      <w:r w:rsidR="009F2015" w:rsidRPr="007647E3">
        <w:rPr>
          <w:color w:val="000000" w:themeColor="text1"/>
        </w:rPr>
        <w:t>Negado o provimento ao recurso e mantida a sanção aplicada, após os trâmites cabíveis, o Órgão deverá providenciar a publicação do extrato da decisão no Diário Oficial do Estado, aplica</w:t>
      </w:r>
      <w:r w:rsidR="00AE242F">
        <w:rPr>
          <w:color w:val="000000" w:themeColor="text1"/>
        </w:rPr>
        <w:t>n</w:t>
      </w:r>
      <w:r w:rsidR="009F2015" w:rsidRPr="007647E3">
        <w:rPr>
          <w:color w:val="000000" w:themeColor="text1"/>
        </w:rPr>
        <w:t>do o prazo restante de sancionamento não cumprido, além de reativar a sanção no SIGA conforme novo prazo, registrando o motivo no campo próprio</w:t>
      </w:r>
      <w:r w:rsidR="00AE242F">
        <w:rPr>
          <w:color w:val="000000" w:themeColor="text1"/>
        </w:rPr>
        <w:t>,</w:t>
      </w:r>
      <w:r w:rsidR="009F2015" w:rsidRPr="007647E3">
        <w:rPr>
          <w:color w:val="000000" w:themeColor="text1"/>
        </w:rPr>
        <w:t xml:space="preserve"> e comunicar à SUCAF para que proceda de igual forma em relação ao cadastro da sanção no CEIS (CGU), se for o caso.</w:t>
      </w:r>
    </w:p>
    <w:p w14:paraId="57E6356C" w14:textId="1A9B2FD2" w:rsidR="004D36E3" w:rsidRPr="007647E3" w:rsidRDefault="004D36E3" w:rsidP="009124B7">
      <w:pPr>
        <w:pStyle w:val="N111"/>
        <w:numPr>
          <w:ilvl w:val="1"/>
          <w:numId w:val="2"/>
        </w:numPr>
        <w:ind w:left="567" w:hanging="567"/>
        <w:rPr>
          <w:color w:val="000000" w:themeColor="text1"/>
        </w:rPr>
      </w:pPr>
      <w:r w:rsidRPr="004D36E3">
        <w:rPr>
          <w:color w:val="000000" w:themeColor="text1"/>
        </w:rPr>
        <w:t>Nos procedimentos de aplicação de impedimento ou inidoneidade por entidades da Administração Indireta, considerando a competência exclusiva prevista no §1º do art. 91 da Portaria SEGER/PGE/SECONT n.º 049-R/2010, a SEGER, após a confirmação da sanção, encaminhará os autos diretamente à Secretaria de Estado vinculada (não passando por T21).</w:t>
      </w:r>
    </w:p>
    <w:p w14:paraId="315CC085" w14:textId="17319113" w:rsidR="009F2015" w:rsidRDefault="00F47E07" w:rsidP="00270041">
      <w:pPr>
        <w:pStyle w:val="N111"/>
        <w:numPr>
          <w:ilvl w:val="2"/>
          <w:numId w:val="9"/>
        </w:numPr>
        <w:ind w:left="851" w:hanging="567"/>
      </w:pPr>
      <w:r w:rsidRPr="00B00C94">
        <w:t xml:space="preserve">Em tais casos, os procedimentos de T22 em diante (publicação do extrato ou ciência à empresa, providências para registro da sanção no </w:t>
      </w:r>
      <w:r w:rsidR="00B00C94" w:rsidRPr="00B00C94">
        <w:t>SIGA</w:t>
      </w:r>
      <w:r w:rsidRPr="00B00C94">
        <w:t xml:space="preserve"> e CEIS e processamento de eventuais recursos) serão realizados pela autoridade que prolatou a decisão, ou seja, o Secretário de Estado vinculado.</w:t>
      </w:r>
    </w:p>
    <w:p w14:paraId="6070A556" w14:textId="377E4CE9" w:rsidR="004D36E3" w:rsidRPr="00B00C94" w:rsidRDefault="004D36E3" w:rsidP="00270041">
      <w:pPr>
        <w:pStyle w:val="N111"/>
        <w:numPr>
          <w:ilvl w:val="2"/>
          <w:numId w:val="9"/>
        </w:numPr>
        <w:ind w:left="851" w:hanging="567"/>
      </w:pPr>
      <w:r w:rsidRPr="002F35BF">
        <w:rPr>
          <w:color w:val="000000" w:themeColor="text1"/>
        </w:rPr>
        <w:t>Quando tais procedimentos forem instaurados por entidades da Administração Indireta vinculadas à SEGER, a submissão à Secretaria vinculada (T12) será considerada atendida com o trâmite previsto de T16 em diante</w:t>
      </w:r>
      <w:r w:rsidR="009124B7">
        <w:rPr>
          <w:color w:val="000000" w:themeColor="text1"/>
        </w:rPr>
        <w:t>.</w:t>
      </w:r>
    </w:p>
    <w:p w14:paraId="4E2764BF" w14:textId="77777777" w:rsidR="007D78A8" w:rsidRDefault="00A05A1D" w:rsidP="00EF34DE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>
        <w:t>ANEXOS</w:t>
      </w:r>
    </w:p>
    <w:p w14:paraId="5850DCE2" w14:textId="77777777" w:rsidR="003F4BE7" w:rsidRDefault="003F4BE7" w:rsidP="003F4BE7">
      <w:pPr>
        <w:pStyle w:val="Ttulo1"/>
        <w:widowControl w:val="0"/>
        <w:numPr>
          <w:ilvl w:val="0"/>
          <w:numId w:val="0"/>
        </w:numPr>
        <w:spacing w:before="240"/>
        <w:rPr>
          <w:b w:val="0"/>
        </w:rPr>
      </w:pPr>
      <w:r>
        <w:rPr>
          <w:b w:val="0"/>
        </w:rPr>
        <w:t>Não aplicável.</w:t>
      </w:r>
    </w:p>
    <w:p w14:paraId="1E7AF355" w14:textId="77777777" w:rsidR="00A73C22" w:rsidRDefault="00A73C22" w:rsidP="00A73C22">
      <w:pPr>
        <w:pStyle w:val="N11"/>
      </w:pPr>
    </w:p>
    <w:p w14:paraId="6DD5C1EB" w14:textId="77777777" w:rsidR="00A73C22" w:rsidRDefault="00A73C22" w:rsidP="00A73C22">
      <w:pPr>
        <w:pStyle w:val="N11"/>
      </w:pPr>
    </w:p>
    <w:p w14:paraId="3C7D3D7F" w14:textId="77777777" w:rsidR="00A73C22" w:rsidRDefault="00A73C22" w:rsidP="00A73C22">
      <w:pPr>
        <w:pStyle w:val="N11"/>
      </w:pPr>
    </w:p>
    <w:p w14:paraId="2BAD04FC" w14:textId="77777777" w:rsidR="00A73C22" w:rsidRDefault="00A73C22" w:rsidP="00A73C22">
      <w:pPr>
        <w:pStyle w:val="N11"/>
      </w:pPr>
    </w:p>
    <w:p w14:paraId="27A4F4D7" w14:textId="77777777" w:rsidR="00A73C22" w:rsidRDefault="00A73C22" w:rsidP="00A73C22">
      <w:pPr>
        <w:pStyle w:val="N11"/>
      </w:pPr>
    </w:p>
    <w:p w14:paraId="7E51A5E8" w14:textId="77777777" w:rsidR="00A73C22" w:rsidRPr="00A73C22" w:rsidRDefault="00A73C22" w:rsidP="00A73C22">
      <w:pPr>
        <w:pStyle w:val="N11"/>
      </w:pPr>
    </w:p>
    <w:p w14:paraId="3136C0B7" w14:textId="77777777" w:rsidR="008639CE" w:rsidRDefault="00A47C01" w:rsidP="00EF34DE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>
        <w:lastRenderedPageBreak/>
        <w:t>ASSINATURAS</w:t>
      </w: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7E07" w:rsidRPr="00F47E07" w14:paraId="4032081D" w14:textId="77777777" w:rsidTr="001918C7">
        <w:tc>
          <w:tcPr>
            <w:tcW w:w="9061" w:type="dxa"/>
            <w:gridSpan w:val="2"/>
            <w:vAlign w:val="center"/>
          </w:tcPr>
          <w:p w14:paraId="1C8BF490" w14:textId="22018D48" w:rsidR="00AE242F" w:rsidRPr="00F47E07" w:rsidRDefault="00F47E07" w:rsidP="00F47E07">
            <w:pPr>
              <w:widowControl w:val="0"/>
              <w:spacing w:before="60" w:after="60"/>
            </w:pPr>
            <w:r w:rsidRPr="00F47E07">
              <w:t>EQUIPE DE ELABORAÇÃO:</w:t>
            </w:r>
            <w:r w:rsidR="00A73C22">
              <w:t xml:space="preserve"> SCL Nº 020</w:t>
            </w:r>
          </w:p>
        </w:tc>
      </w:tr>
      <w:tr w:rsidR="00F47E07" w:rsidRPr="00F47E07" w14:paraId="10385204" w14:textId="77777777" w:rsidTr="001918C7">
        <w:tc>
          <w:tcPr>
            <w:tcW w:w="4530" w:type="dxa"/>
            <w:vAlign w:val="center"/>
          </w:tcPr>
          <w:p w14:paraId="5A6E052B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49C92B25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45891331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Luciana Lopes Pinheiro</w:t>
            </w:r>
          </w:p>
          <w:p w14:paraId="36B21618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Gerente de Licitações</w:t>
            </w:r>
          </w:p>
        </w:tc>
        <w:tc>
          <w:tcPr>
            <w:tcW w:w="4531" w:type="dxa"/>
            <w:vAlign w:val="center"/>
          </w:tcPr>
          <w:p w14:paraId="690661A5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34DCE95C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19F12FE9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Kamila Broetto Pegoretti Pimentel</w:t>
            </w:r>
          </w:p>
          <w:p w14:paraId="54C7CE0B" w14:textId="556A7547" w:rsidR="00994899" w:rsidRPr="00F47E07" w:rsidRDefault="00F47E07" w:rsidP="00994899">
            <w:pPr>
              <w:widowControl w:val="0"/>
              <w:spacing w:before="0" w:after="0"/>
              <w:jc w:val="center"/>
            </w:pPr>
            <w:r w:rsidRPr="00F47E07">
              <w:t>Gerente de Contratos e Convênios</w:t>
            </w:r>
          </w:p>
        </w:tc>
      </w:tr>
      <w:tr w:rsidR="00F47E07" w:rsidRPr="00F47E07" w14:paraId="23851E50" w14:textId="77777777" w:rsidTr="001918C7">
        <w:tc>
          <w:tcPr>
            <w:tcW w:w="4530" w:type="dxa"/>
            <w:vAlign w:val="center"/>
          </w:tcPr>
          <w:p w14:paraId="5BAF2B02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6A11D779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49841E70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Silvana Cristina de Souza</w:t>
            </w:r>
          </w:p>
          <w:p w14:paraId="6C909496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Analista do Executivo</w:t>
            </w:r>
          </w:p>
        </w:tc>
        <w:tc>
          <w:tcPr>
            <w:tcW w:w="4531" w:type="dxa"/>
            <w:vAlign w:val="center"/>
          </w:tcPr>
          <w:p w14:paraId="01A13FE6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221D0258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4DEFAEC1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Heloiza da Rocha Rodrigues</w:t>
            </w:r>
          </w:p>
          <w:p w14:paraId="7F0FFDB6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Analista do Executivo</w:t>
            </w:r>
          </w:p>
        </w:tc>
      </w:tr>
      <w:tr w:rsidR="00F47E07" w:rsidRPr="00F47E07" w14:paraId="197DB1FB" w14:textId="77777777" w:rsidTr="001918C7">
        <w:tc>
          <w:tcPr>
            <w:tcW w:w="4530" w:type="dxa"/>
            <w:vAlign w:val="center"/>
          </w:tcPr>
          <w:p w14:paraId="44E8ABD1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2D145914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00AA1A2E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Carolina Bragatto Dal Piaz</w:t>
            </w:r>
          </w:p>
          <w:p w14:paraId="18BAF5E2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Analista do Executivo</w:t>
            </w:r>
          </w:p>
        </w:tc>
        <w:tc>
          <w:tcPr>
            <w:tcW w:w="4531" w:type="dxa"/>
            <w:vAlign w:val="center"/>
          </w:tcPr>
          <w:p w14:paraId="5777A828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247AEFB2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1B4A43B4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Henrique José Grilo de Almeida</w:t>
            </w:r>
          </w:p>
          <w:p w14:paraId="0B14012C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Analista do Executivo</w:t>
            </w:r>
          </w:p>
        </w:tc>
      </w:tr>
      <w:tr w:rsidR="00F47E07" w:rsidRPr="00F47E07" w14:paraId="16023253" w14:textId="77777777" w:rsidTr="001918C7">
        <w:tc>
          <w:tcPr>
            <w:tcW w:w="4530" w:type="dxa"/>
            <w:vAlign w:val="center"/>
          </w:tcPr>
          <w:p w14:paraId="0621981E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</w:p>
          <w:p w14:paraId="69AF3AB6" w14:textId="77777777" w:rsidR="009E6103" w:rsidRDefault="009E6103" w:rsidP="00F47E07">
            <w:pPr>
              <w:widowControl w:val="0"/>
              <w:spacing w:before="0" w:after="0"/>
              <w:jc w:val="center"/>
            </w:pPr>
          </w:p>
          <w:p w14:paraId="055B7FA9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Walter Rocha Sarmento Junior</w:t>
            </w:r>
          </w:p>
          <w:p w14:paraId="223D28E6" w14:textId="77777777" w:rsidR="00F47E07" w:rsidRPr="00F47E07" w:rsidRDefault="00F47E07" w:rsidP="00F47E07">
            <w:pPr>
              <w:widowControl w:val="0"/>
              <w:spacing w:before="0" w:after="0"/>
              <w:jc w:val="center"/>
            </w:pPr>
            <w:r w:rsidRPr="00F47E07">
              <w:t>Analista do Executivo</w:t>
            </w:r>
          </w:p>
        </w:tc>
        <w:tc>
          <w:tcPr>
            <w:tcW w:w="4531" w:type="dxa"/>
            <w:vAlign w:val="center"/>
          </w:tcPr>
          <w:p w14:paraId="026BF680" w14:textId="77777777" w:rsidR="00784396" w:rsidRDefault="00784396" w:rsidP="00F47E07">
            <w:pPr>
              <w:widowControl w:val="0"/>
              <w:spacing w:before="0" w:after="0"/>
              <w:jc w:val="center"/>
            </w:pPr>
          </w:p>
          <w:p w14:paraId="1F56C35E" w14:textId="77777777" w:rsidR="00F47E07" w:rsidRPr="004E0937" w:rsidRDefault="00F47E07" w:rsidP="00F47E07">
            <w:pPr>
              <w:widowControl w:val="0"/>
              <w:spacing w:before="0" w:after="0"/>
              <w:jc w:val="center"/>
            </w:pPr>
            <w:r w:rsidRPr="004E0937">
              <w:t>Elaborado em</w:t>
            </w:r>
          </w:p>
          <w:p w14:paraId="5E91AF62" w14:textId="03FCED8B" w:rsidR="00F47E07" w:rsidRPr="004E0937" w:rsidRDefault="004E0937" w:rsidP="004E0937">
            <w:pPr>
              <w:widowControl w:val="0"/>
              <w:spacing w:before="0" w:after="0"/>
              <w:jc w:val="center"/>
            </w:pPr>
            <w:r w:rsidRPr="004E0937">
              <w:t xml:space="preserve">   </w:t>
            </w:r>
            <w:r w:rsidR="00A73C22">
              <w:t>26</w:t>
            </w:r>
            <w:r w:rsidR="00F47E07" w:rsidRPr="004E0937">
              <w:t>/</w:t>
            </w:r>
            <w:r w:rsidRPr="004E0937">
              <w:t>03</w:t>
            </w:r>
            <w:r w:rsidR="00F47E07" w:rsidRPr="004E0937">
              <w:t>/2019</w:t>
            </w:r>
          </w:p>
        </w:tc>
      </w:tr>
      <w:tr w:rsidR="00F47E07" w:rsidRPr="00F47E07" w14:paraId="621C16AB" w14:textId="77777777" w:rsidTr="001918C7">
        <w:tc>
          <w:tcPr>
            <w:tcW w:w="9061" w:type="dxa"/>
            <w:gridSpan w:val="2"/>
            <w:vAlign w:val="center"/>
          </w:tcPr>
          <w:p w14:paraId="6D5146F5" w14:textId="77777777" w:rsidR="00F47E07" w:rsidRPr="004E0937" w:rsidRDefault="00F47E07" w:rsidP="00F47E07">
            <w:pPr>
              <w:widowControl w:val="0"/>
              <w:spacing w:before="60" w:after="60"/>
            </w:pPr>
            <w:r w:rsidRPr="004E0937">
              <w:t>APROVAÇÃO:</w:t>
            </w:r>
          </w:p>
        </w:tc>
      </w:tr>
      <w:tr w:rsidR="00F47E07" w:rsidRPr="00F47E07" w14:paraId="466E4AD3" w14:textId="77777777" w:rsidTr="001918C7">
        <w:tc>
          <w:tcPr>
            <w:tcW w:w="4530" w:type="dxa"/>
            <w:vAlign w:val="center"/>
          </w:tcPr>
          <w:p w14:paraId="6A9E8D16" w14:textId="77777777" w:rsidR="00F47E07" w:rsidRDefault="00F47E07" w:rsidP="00F47E07">
            <w:pPr>
              <w:spacing w:before="0" w:after="0"/>
              <w:jc w:val="center"/>
              <w:rPr>
                <w:rFonts w:cs="Arial"/>
                <w:szCs w:val="24"/>
              </w:rPr>
            </w:pPr>
          </w:p>
          <w:p w14:paraId="026C48E3" w14:textId="77777777" w:rsidR="009E6103" w:rsidRPr="00F47E07" w:rsidRDefault="009E6103" w:rsidP="00F47E07">
            <w:pPr>
              <w:spacing w:before="0" w:after="0"/>
              <w:jc w:val="center"/>
              <w:rPr>
                <w:rFonts w:cs="Arial"/>
                <w:szCs w:val="24"/>
              </w:rPr>
            </w:pPr>
          </w:p>
          <w:p w14:paraId="52EC0030" w14:textId="77777777" w:rsidR="00F47E07" w:rsidRPr="00F47E07" w:rsidRDefault="00F47E07" w:rsidP="00F47E07">
            <w:pPr>
              <w:spacing w:before="0" w:after="0"/>
              <w:jc w:val="center"/>
              <w:rPr>
                <w:rFonts w:cs="Arial"/>
                <w:sz w:val="22"/>
              </w:rPr>
            </w:pPr>
            <w:proofErr w:type="spellStart"/>
            <w:r w:rsidRPr="00F47E07">
              <w:rPr>
                <w:rFonts w:cs="Arial"/>
                <w:szCs w:val="24"/>
              </w:rPr>
              <w:t>Lenise</w:t>
            </w:r>
            <w:proofErr w:type="spellEnd"/>
            <w:r w:rsidRPr="00F47E07">
              <w:rPr>
                <w:rFonts w:cs="Arial"/>
                <w:szCs w:val="24"/>
              </w:rPr>
              <w:t xml:space="preserve"> Menezes Loureiro</w:t>
            </w:r>
          </w:p>
          <w:p w14:paraId="42D01C96" w14:textId="77777777" w:rsidR="00F47E07" w:rsidRPr="00F47E07" w:rsidRDefault="00F47E07" w:rsidP="00F47E07">
            <w:pPr>
              <w:widowControl w:val="0"/>
              <w:spacing w:before="0" w:after="0"/>
              <w:jc w:val="center"/>
              <w:rPr>
                <w:rFonts w:cs="Arial"/>
              </w:rPr>
            </w:pPr>
            <w:r w:rsidRPr="00F47E07">
              <w:rPr>
                <w:rFonts w:cs="Arial"/>
              </w:rPr>
              <w:t>Secretária de Estado de Gestão e Recursos Humanos</w:t>
            </w:r>
          </w:p>
        </w:tc>
        <w:tc>
          <w:tcPr>
            <w:tcW w:w="4531" w:type="dxa"/>
            <w:vAlign w:val="center"/>
          </w:tcPr>
          <w:p w14:paraId="02DC4094" w14:textId="77777777" w:rsidR="00784396" w:rsidRDefault="00784396" w:rsidP="00F47E07">
            <w:pPr>
              <w:widowControl w:val="0"/>
              <w:spacing w:before="0" w:after="0"/>
              <w:jc w:val="center"/>
              <w:rPr>
                <w:rFonts w:cs="Arial"/>
              </w:rPr>
            </w:pPr>
          </w:p>
          <w:p w14:paraId="44E57697" w14:textId="77777777" w:rsidR="00F47E07" w:rsidRPr="004E0937" w:rsidRDefault="00F47E07" w:rsidP="00F47E07">
            <w:pPr>
              <w:widowControl w:val="0"/>
              <w:spacing w:before="0" w:after="0"/>
              <w:jc w:val="center"/>
              <w:rPr>
                <w:rFonts w:cs="Arial"/>
              </w:rPr>
            </w:pPr>
            <w:r w:rsidRPr="004E0937">
              <w:rPr>
                <w:rFonts w:cs="Arial"/>
              </w:rPr>
              <w:t>Aprovado em</w:t>
            </w:r>
          </w:p>
          <w:p w14:paraId="32035F5D" w14:textId="19319702" w:rsidR="00F47E07" w:rsidRPr="004E0937" w:rsidRDefault="004E0937" w:rsidP="004E0937">
            <w:pPr>
              <w:widowControl w:val="0"/>
              <w:spacing w:before="0" w:after="0"/>
              <w:jc w:val="center"/>
              <w:rPr>
                <w:rFonts w:cs="Arial"/>
              </w:rPr>
            </w:pPr>
            <w:r w:rsidRPr="004E0937">
              <w:rPr>
                <w:rFonts w:cs="Arial"/>
              </w:rPr>
              <w:t xml:space="preserve">   </w:t>
            </w:r>
            <w:r w:rsidR="00A73C22">
              <w:rPr>
                <w:rFonts w:cs="Arial"/>
              </w:rPr>
              <w:t>26</w:t>
            </w:r>
            <w:r w:rsidR="00F47E07" w:rsidRPr="004E0937">
              <w:rPr>
                <w:rFonts w:cs="Arial"/>
              </w:rPr>
              <w:t>/</w:t>
            </w:r>
            <w:r w:rsidRPr="004E0937">
              <w:rPr>
                <w:rFonts w:cs="Arial"/>
              </w:rPr>
              <w:t>03</w:t>
            </w:r>
            <w:r w:rsidR="00F47E07" w:rsidRPr="004E0937">
              <w:rPr>
                <w:rFonts w:cs="Arial"/>
              </w:rPr>
              <w:t>/2019</w:t>
            </w:r>
          </w:p>
        </w:tc>
      </w:tr>
    </w:tbl>
    <w:p w14:paraId="10396AE7" w14:textId="77777777" w:rsidR="00C20A6E" w:rsidRPr="004D48C2" w:rsidRDefault="00C20A6E" w:rsidP="00375BE2">
      <w:pPr>
        <w:pStyle w:val="N11"/>
        <w:widowControl w:val="0"/>
        <w:jc w:val="center"/>
        <w:rPr>
          <w:rFonts w:cs="Arial"/>
          <w:szCs w:val="24"/>
        </w:rPr>
      </w:pPr>
    </w:p>
    <w:sectPr w:rsidR="00C20A6E" w:rsidRPr="004D48C2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DBC83" w14:textId="77777777" w:rsidR="000F4E51" w:rsidRDefault="000F4E51" w:rsidP="00DF144B">
      <w:pPr>
        <w:spacing w:before="0" w:after="0"/>
      </w:pPr>
      <w:r>
        <w:separator/>
      </w:r>
    </w:p>
  </w:endnote>
  <w:endnote w:type="continuationSeparator" w:id="0">
    <w:p w14:paraId="5201A645" w14:textId="77777777" w:rsidR="000F4E51" w:rsidRDefault="000F4E51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0E7E" w14:textId="77777777" w:rsidR="000F4E51" w:rsidRDefault="000F4E51" w:rsidP="00DF144B">
      <w:pPr>
        <w:spacing w:before="0" w:after="0"/>
      </w:pPr>
      <w:r>
        <w:separator/>
      </w:r>
    </w:p>
  </w:footnote>
  <w:footnote w:type="continuationSeparator" w:id="0">
    <w:p w14:paraId="214FF0C2" w14:textId="77777777" w:rsidR="000F4E51" w:rsidRDefault="000F4E51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DEA1" w14:textId="77777777"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C4D369F" wp14:editId="79353F89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14:paraId="288490AB" w14:textId="77777777"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14:paraId="00AEC339" w14:textId="77777777"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676"/>
    <w:multiLevelType w:val="hybridMultilevel"/>
    <w:tmpl w:val="56C8B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215"/>
    <w:multiLevelType w:val="multilevel"/>
    <w:tmpl w:val="F934F69C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7.1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B7C6781"/>
    <w:multiLevelType w:val="hybridMultilevel"/>
    <w:tmpl w:val="BF244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E1AD7"/>
    <w:multiLevelType w:val="hybridMultilevel"/>
    <w:tmpl w:val="150A6916"/>
    <w:lvl w:ilvl="0" w:tplc="1BB4335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3410"/>
    <w:multiLevelType w:val="multilevel"/>
    <w:tmpl w:val="C1EAAC5A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7.1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D2BED"/>
    <w:multiLevelType w:val="hybridMultilevel"/>
    <w:tmpl w:val="7F789F32"/>
    <w:lvl w:ilvl="0" w:tplc="B4DA92D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314C2"/>
    <w:multiLevelType w:val="multilevel"/>
    <w:tmpl w:val="B49C5448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lvlText w:val="7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7.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ADA6337"/>
    <w:multiLevelType w:val="hybridMultilevel"/>
    <w:tmpl w:val="7CC4E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26858"/>
    <w:multiLevelType w:val="hybridMultilevel"/>
    <w:tmpl w:val="AC6A0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/yi1+KgKhem68MpkigB8OAZH7abI6KzVi27TCGpV48pEP3FBe5DF8QHdwgKqLTI7Vn533RNk6COMp+pRh1cmA==" w:salt="aLWVL6XzSqMn4WAFBIebY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0C"/>
    <w:rsid w:val="00000B52"/>
    <w:rsid w:val="00002103"/>
    <w:rsid w:val="00006934"/>
    <w:rsid w:val="00006B68"/>
    <w:rsid w:val="00014E58"/>
    <w:rsid w:val="000200D5"/>
    <w:rsid w:val="00024F4D"/>
    <w:rsid w:val="000309BB"/>
    <w:rsid w:val="0003448D"/>
    <w:rsid w:val="0003661D"/>
    <w:rsid w:val="00046B7B"/>
    <w:rsid w:val="00047D55"/>
    <w:rsid w:val="00051BDE"/>
    <w:rsid w:val="00060252"/>
    <w:rsid w:val="00061483"/>
    <w:rsid w:val="000813FD"/>
    <w:rsid w:val="00087244"/>
    <w:rsid w:val="00087268"/>
    <w:rsid w:val="000901EC"/>
    <w:rsid w:val="00093D98"/>
    <w:rsid w:val="000A08BC"/>
    <w:rsid w:val="000A0B5D"/>
    <w:rsid w:val="000A7740"/>
    <w:rsid w:val="000B1C69"/>
    <w:rsid w:val="000C5420"/>
    <w:rsid w:val="000C6CDC"/>
    <w:rsid w:val="000D064A"/>
    <w:rsid w:val="000E143C"/>
    <w:rsid w:val="000E52A0"/>
    <w:rsid w:val="000F4E51"/>
    <w:rsid w:val="00103167"/>
    <w:rsid w:val="00106F50"/>
    <w:rsid w:val="00114363"/>
    <w:rsid w:val="00115F82"/>
    <w:rsid w:val="001216A0"/>
    <w:rsid w:val="00123BF8"/>
    <w:rsid w:val="0012663E"/>
    <w:rsid w:val="0013300C"/>
    <w:rsid w:val="001443D6"/>
    <w:rsid w:val="00144580"/>
    <w:rsid w:val="00151D50"/>
    <w:rsid w:val="001562DA"/>
    <w:rsid w:val="00163275"/>
    <w:rsid w:val="00167D36"/>
    <w:rsid w:val="001859E6"/>
    <w:rsid w:val="00190431"/>
    <w:rsid w:val="0019627E"/>
    <w:rsid w:val="001967F0"/>
    <w:rsid w:val="00197C35"/>
    <w:rsid w:val="001A506A"/>
    <w:rsid w:val="001A6048"/>
    <w:rsid w:val="001A667E"/>
    <w:rsid w:val="001A6F41"/>
    <w:rsid w:val="001B6787"/>
    <w:rsid w:val="001B77C5"/>
    <w:rsid w:val="001C1DAC"/>
    <w:rsid w:val="001C2423"/>
    <w:rsid w:val="001C28DE"/>
    <w:rsid w:val="001C3433"/>
    <w:rsid w:val="001C40A3"/>
    <w:rsid w:val="001C4D13"/>
    <w:rsid w:val="001D3299"/>
    <w:rsid w:val="001D677B"/>
    <w:rsid w:val="001E3183"/>
    <w:rsid w:val="001E3A50"/>
    <w:rsid w:val="001E6142"/>
    <w:rsid w:val="001E644C"/>
    <w:rsid w:val="001E7088"/>
    <w:rsid w:val="001E720F"/>
    <w:rsid w:val="001F05BC"/>
    <w:rsid w:val="001F0D67"/>
    <w:rsid w:val="001F237C"/>
    <w:rsid w:val="001F3B91"/>
    <w:rsid w:val="001F3FEF"/>
    <w:rsid w:val="001F4015"/>
    <w:rsid w:val="001F621A"/>
    <w:rsid w:val="002160E6"/>
    <w:rsid w:val="00221147"/>
    <w:rsid w:val="0025274F"/>
    <w:rsid w:val="00254748"/>
    <w:rsid w:val="0026041F"/>
    <w:rsid w:val="00261AB3"/>
    <w:rsid w:val="00265CDD"/>
    <w:rsid w:val="00266CEB"/>
    <w:rsid w:val="0026761F"/>
    <w:rsid w:val="00267812"/>
    <w:rsid w:val="00270041"/>
    <w:rsid w:val="00273228"/>
    <w:rsid w:val="00276E94"/>
    <w:rsid w:val="00284E2B"/>
    <w:rsid w:val="00294686"/>
    <w:rsid w:val="002A07A0"/>
    <w:rsid w:val="002A196B"/>
    <w:rsid w:val="002A3D65"/>
    <w:rsid w:val="002B0AE7"/>
    <w:rsid w:val="002C3B68"/>
    <w:rsid w:val="002C69DF"/>
    <w:rsid w:val="002D0BBD"/>
    <w:rsid w:val="002F2A39"/>
    <w:rsid w:val="002F35BF"/>
    <w:rsid w:val="002F3E66"/>
    <w:rsid w:val="002F588C"/>
    <w:rsid w:val="002F6C20"/>
    <w:rsid w:val="00304BC6"/>
    <w:rsid w:val="00306687"/>
    <w:rsid w:val="0031070B"/>
    <w:rsid w:val="00314B32"/>
    <w:rsid w:val="00322541"/>
    <w:rsid w:val="00324258"/>
    <w:rsid w:val="00324C8E"/>
    <w:rsid w:val="00327FE5"/>
    <w:rsid w:val="00344E26"/>
    <w:rsid w:val="0037340F"/>
    <w:rsid w:val="00375BE2"/>
    <w:rsid w:val="00376F11"/>
    <w:rsid w:val="003865F7"/>
    <w:rsid w:val="00391856"/>
    <w:rsid w:val="003B6621"/>
    <w:rsid w:val="003C4A17"/>
    <w:rsid w:val="003C6DF7"/>
    <w:rsid w:val="003D1E32"/>
    <w:rsid w:val="003D4A71"/>
    <w:rsid w:val="003E0CCC"/>
    <w:rsid w:val="003E1D39"/>
    <w:rsid w:val="003E7A7D"/>
    <w:rsid w:val="003F4BE7"/>
    <w:rsid w:val="003F5AD9"/>
    <w:rsid w:val="003F6E14"/>
    <w:rsid w:val="004002EF"/>
    <w:rsid w:val="00400A7F"/>
    <w:rsid w:val="00402766"/>
    <w:rsid w:val="004065F2"/>
    <w:rsid w:val="00406C24"/>
    <w:rsid w:val="00410A60"/>
    <w:rsid w:val="00412355"/>
    <w:rsid w:val="0041308F"/>
    <w:rsid w:val="0041459D"/>
    <w:rsid w:val="00417774"/>
    <w:rsid w:val="00425898"/>
    <w:rsid w:val="004272CB"/>
    <w:rsid w:val="00442092"/>
    <w:rsid w:val="004421AD"/>
    <w:rsid w:val="00446DFF"/>
    <w:rsid w:val="004541D1"/>
    <w:rsid w:val="00455519"/>
    <w:rsid w:val="004655C7"/>
    <w:rsid w:val="004675DE"/>
    <w:rsid w:val="0047063B"/>
    <w:rsid w:val="00473E54"/>
    <w:rsid w:val="00474203"/>
    <w:rsid w:val="0047689C"/>
    <w:rsid w:val="0048272A"/>
    <w:rsid w:val="00483843"/>
    <w:rsid w:val="0049083C"/>
    <w:rsid w:val="00491BDF"/>
    <w:rsid w:val="00495257"/>
    <w:rsid w:val="00495FB0"/>
    <w:rsid w:val="004A3778"/>
    <w:rsid w:val="004A6B3F"/>
    <w:rsid w:val="004B2879"/>
    <w:rsid w:val="004B576D"/>
    <w:rsid w:val="004C0739"/>
    <w:rsid w:val="004C5D0E"/>
    <w:rsid w:val="004D12BA"/>
    <w:rsid w:val="004D36E3"/>
    <w:rsid w:val="004D48C2"/>
    <w:rsid w:val="004E0937"/>
    <w:rsid w:val="004E2C91"/>
    <w:rsid w:val="004F0286"/>
    <w:rsid w:val="004F1422"/>
    <w:rsid w:val="004F3076"/>
    <w:rsid w:val="004F5B89"/>
    <w:rsid w:val="004F5E10"/>
    <w:rsid w:val="00501DF2"/>
    <w:rsid w:val="0050520B"/>
    <w:rsid w:val="00511838"/>
    <w:rsid w:val="005132EA"/>
    <w:rsid w:val="00521BA4"/>
    <w:rsid w:val="00524856"/>
    <w:rsid w:val="0052544E"/>
    <w:rsid w:val="005409F9"/>
    <w:rsid w:val="00543808"/>
    <w:rsid w:val="00547926"/>
    <w:rsid w:val="005518FF"/>
    <w:rsid w:val="00552011"/>
    <w:rsid w:val="00561B76"/>
    <w:rsid w:val="005628E9"/>
    <w:rsid w:val="00576F0C"/>
    <w:rsid w:val="005841DE"/>
    <w:rsid w:val="00585BEA"/>
    <w:rsid w:val="00591EB5"/>
    <w:rsid w:val="00592DF2"/>
    <w:rsid w:val="0059448E"/>
    <w:rsid w:val="00595CE7"/>
    <w:rsid w:val="005A0B1A"/>
    <w:rsid w:val="005A0E64"/>
    <w:rsid w:val="005A420E"/>
    <w:rsid w:val="005B1A02"/>
    <w:rsid w:val="005B26D2"/>
    <w:rsid w:val="005C7153"/>
    <w:rsid w:val="005E3098"/>
    <w:rsid w:val="005E50EF"/>
    <w:rsid w:val="005E677A"/>
    <w:rsid w:val="005F5078"/>
    <w:rsid w:val="0060297D"/>
    <w:rsid w:val="00603519"/>
    <w:rsid w:val="00603552"/>
    <w:rsid w:val="0060588F"/>
    <w:rsid w:val="006131B8"/>
    <w:rsid w:val="006139F6"/>
    <w:rsid w:val="00625A8B"/>
    <w:rsid w:val="0062637F"/>
    <w:rsid w:val="0062728E"/>
    <w:rsid w:val="00630607"/>
    <w:rsid w:val="00635725"/>
    <w:rsid w:val="006361F9"/>
    <w:rsid w:val="006525B2"/>
    <w:rsid w:val="00654027"/>
    <w:rsid w:val="00657B49"/>
    <w:rsid w:val="006600EA"/>
    <w:rsid w:val="00660D6E"/>
    <w:rsid w:val="006727CD"/>
    <w:rsid w:val="0067356F"/>
    <w:rsid w:val="00676DCD"/>
    <w:rsid w:val="00680B1E"/>
    <w:rsid w:val="00686073"/>
    <w:rsid w:val="006904ED"/>
    <w:rsid w:val="0069204F"/>
    <w:rsid w:val="00692BB5"/>
    <w:rsid w:val="00696BAB"/>
    <w:rsid w:val="006A2F50"/>
    <w:rsid w:val="006B12B4"/>
    <w:rsid w:val="006B24A5"/>
    <w:rsid w:val="006B2BCA"/>
    <w:rsid w:val="006B2EAA"/>
    <w:rsid w:val="006D4153"/>
    <w:rsid w:val="006D51AA"/>
    <w:rsid w:val="006F2802"/>
    <w:rsid w:val="006F391F"/>
    <w:rsid w:val="006F7EA2"/>
    <w:rsid w:val="00701A66"/>
    <w:rsid w:val="0070395A"/>
    <w:rsid w:val="0070460D"/>
    <w:rsid w:val="007114C2"/>
    <w:rsid w:val="00711683"/>
    <w:rsid w:val="00712FEE"/>
    <w:rsid w:val="00715220"/>
    <w:rsid w:val="00731313"/>
    <w:rsid w:val="00732A3B"/>
    <w:rsid w:val="00734CF5"/>
    <w:rsid w:val="0074065B"/>
    <w:rsid w:val="00741F38"/>
    <w:rsid w:val="00744987"/>
    <w:rsid w:val="007513D4"/>
    <w:rsid w:val="00754F27"/>
    <w:rsid w:val="00755B29"/>
    <w:rsid w:val="007647E3"/>
    <w:rsid w:val="00765534"/>
    <w:rsid w:val="00767D68"/>
    <w:rsid w:val="00774B0C"/>
    <w:rsid w:val="007757DB"/>
    <w:rsid w:val="007837E7"/>
    <w:rsid w:val="00783D2C"/>
    <w:rsid w:val="00784396"/>
    <w:rsid w:val="00785AF9"/>
    <w:rsid w:val="007878BD"/>
    <w:rsid w:val="007912B3"/>
    <w:rsid w:val="00791A45"/>
    <w:rsid w:val="00796C28"/>
    <w:rsid w:val="007A0AAA"/>
    <w:rsid w:val="007B11B8"/>
    <w:rsid w:val="007B1E8A"/>
    <w:rsid w:val="007C1418"/>
    <w:rsid w:val="007C5FB6"/>
    <w:rsid w:val="007C6321"/>
    <w:rsid w:val="007D01FF"/>
    <w:rsid w:val="007D1D75"/>
    <w:rsid w:val="007D78A8"/>
    <w:rsid w:val="007F465F"/>
    <w:rsid w:val="00800576"/>
    <w:rsid w:val="008032A4"/>
    <w:rsid w:val="00803A42"/>
    <w:rsid w:val="00817313"/>
    <w:rsid w:val="008236C2"/>
    <w:rsid w:val="00824D13"/>
    <w:rsid w:val="00825145"/>
    <w:rsid w:val="00825FC0"/>
    <w:rsid w:val="00827E9F"/>
    <w:rsid w:val="00832163"/>
    <w:rsid w:val="00840EBB"/>
    <w:rsid w:val="00847C62"/>
    <w:rsid w:val="008639CE"/>
    <w:rsid w:val="0087023F"/>
    <w:rsid w:val="00875EFC"/>
    <w:rsid w:val="008852A2"/>
    <w:rsid w:val="0088604A"/>
    <w:rsid w:val="00886E25"/>
    <w:rsid w:val="008926EA"/>
    <w:rsid w:val="008A1545"/>
    <w:rsid w:val="008A2A40"/>
    <w:rsid w:val="008A30F3"/>
    <w:rsid w:val="008A54CB"/>
    <w:rsid w:val="008B0DCE"/>
    <w:rsid w:val="008B6D1F"/>
    <w:rsid w:val="008C27A0"/>
    <w:rsid w:val="008C2EAE"/>
    <w:rsid w:val="008D6127"/>
    <w:rsid w:val="008D7FC4"/>
    <w:rsid w:val="008E463F"/>
    <w:rsid w:val="008E4995"/>
    <w:rsid w:val="008F7A6A"/>
    <w:rsid w:val="00910673"/>
    <w:rsid w:val="009124B7"/>
    <w:rsid w:val="009278E5"/>
    <w:rsid w:val="00930E59"/>
    <w:rsid w:val="009312C8"/>
    <w:rsid w:val="00933713"/>
    <w:rsid w:val="00946E7B"/>
    <w:rsid w:val="00954DD9"/>
    <w:rsid w:val="009621D6"/>
    <w:rsid w:val="00983C7A"/>
    <w:rsid w:val="00985D40"/>
    <w:rsid w:val="00987E91"/>
    <w:rsid w:val="00990349"/>
    <w:rsid w:val="0099295C"/>
    <w:rsid w:val="009929E1"/>
    <w:rsid w:val="009934AA"/>
    <w:rsid w:val="00994899"/>
    <w:rsid w:val="009B23B3"/>
    <w:rsid w:val="009C140F"/>
    <w:rsid w:val="009D0646"/>
    <w:rsid w:val="009D31DE"/>
    <w:rsid w:val="009D6EF5"/>
    <w:rsid w:val="009D75EA"/>
    <w:rsid w:val="009E4C61"/>
    <w:rsid w:val="009E54D4"/>
    <w:rsid w:val="009E6103"/>
    <w:rsid w:val="009F2015"/>
    <w:rsid w:val="009F4418"/>
    <w:rsid w:val="00A019F2"/>
    <w:rsid w:val="00A04986"/>
    <w:rsid w:val="00A05A1D"/>
    <w:rsid w:val="00A07D4D"/>
    <w:rsid w:val="00A13836"/>
    <w:rsid w:val="00A2168D"/>
    <w:rsid w:val="00A22011"/>
    <w:rsid w:val="00A226F2"/>
    <w:rsid w:val="00A268EF"/>
    <w:rsid w:val="00A34FCA"/>
    <w:rsid w:val="00A36870"/>
    <w:rsid w:val="00A4594F"/>
    <w:rsid w:val="00A47687"/>
    <w:rsid w:val="00A47A92"/>
    <w:rsid w:val="00A47C01"/>
    <w:rsid w:val="00A505FB"/>
    <w:rsid w:val="00A548D6"/>
    <w:rsid w:val="00A550B7"/>
    <w:rsid w:val="00A6279B"/>
    <w:rsid w:val="00A6358A"/>
    <w:rsid w:val="00A64753"/>
    <w:rsid w:val="00A664BD"/>
    <w:rsid w:val="00A66F31"/>
    <w:rsid w:val="00A729F4"/>
    <w:rsid w:val="00A73C22"/>
    <w:rsid w:val="00A82138"/>
    <w:rsid w:val="00A91DBD"/>
    <w:rsid w:val="00A9319E"/>
    <w:rsid w:val="00A9457F"/>
    <w:rsid w:val="00AA27E5"/>
    <w:rsid w:val="00AA5EE8"/>
    <w:rsid w:val="00AB1C2B"/>
    <w:rsid w:val="00AC147D"/>
    <w:rsid w:val="00AC1C9D"/>
    <w:rsid w:val="00AD041F"/>
    <w:rsid w:val="00AD09CB"/>
    <w:rsid w:val="00AD0E4E"/>
    <w:rsid w:val="00AD59ED"/>
    <w:rsid w:val="00AE242F"/>
    <w:rsid w:val="00AE47DC"/>
    <w:rsid w:val="00AE6373"/>
    <w:rsid w:val="00AE6B15"/>
    <w:rsid w:val="00AF174C"/>
    <w:rsid w:val="00B00975"/>
    <w:rsid w:val="00B00C94"/>
    <w:rsid w:val="00B012E7"/>
    <w:rsid w:val="00B02B2A"/>
    <w:rsid w:val="00B030F8"/>
    <w:rsid w:val="00B124E6"/>
    <w:rsid w:val="00B13B8C"/>
    <w:rsid w:val="00B14E39"/>
    <w:rsid w:val="00B205B1"/>
    <w:rsid w:val="00B241E9"/>
    <w:rsid w:val="00B32A6A"/>
    <w:rsid w:val="00B51A04"/>
    <w:rsid w:val="00B526C0"/>
    <w:rsid w:val="00B572A3"/>
    <w:rsid w:val="00B579AF"/>
    <w:rsid w:val="00B6302B"/>
    <w:rsid w:val="00B6610C"/>
    <w:rsid w:val="00B75E1D"/>
    <w:rsid w:val="00B761F6"/>
    <w:rsid w:val="00B81559"/>
    <w:rsid w:val="00B83D22"/>
    <w:rsid w:val="00B855B6"/>
    <w:rsid w:val="00B902A2"/>
    <w:rsid w:val="00B93574"/>
    <w:rsid w:val="00B94AC9"/>
    <w:rsid w:val="00B975C3"/>
    <w:rsid w:val="00BA0946"/>
    <w:rsid w:val="00BA3B32"/>
    <w:rsid w:val="00BA4C68"/>
    <w:rsid w:val="00BB174C"/>
    <w:rsid w:val="00BB3F46"/>
    <w:rsid w:val="00BB6A25"/>
    <w:rsid w:val="00BD1534"/>
    <w:rsid w:val="00BD43E3"/>
    <w:rsid w:val="00BF0C11"/>
    <w:rsid w:val="00BF0EFD"/>
    <w:rsid w:val="00BF2EBF"/>
    <w:rsid w:val="00BF3CAA"/>
    <w:rsid w:val="00BF46F6"/>
    <w:rsid w:val="00C01365"/>
    <w:rsid w:val="00C04EA6"/>
    <w:rsid w:val="00C1329C"/>
    <w:rsid w:val="00C14D4A"/>
    <w:rsid w:val="00C207ED"/>
    <w:rsid w:val="00C20A6E"/>
    <w:rsid w:val="00C255AB"/>
    <w:rsid w:val="00C3570E"/>
    <w:rsid w:val="00C447C9"/>
    <w:rsid w:val="00C6580A"/>
    <w:rsid w:val="00C71FCC"/>
    <w:rsid w:val="00C739D3"/>
    <w:rsid w:val="00C7526F"/>
    <w:rsid w:val="00C75DAB"/>
    <w:rsid w:val="00C853A0"/>
    <w:rsid w:val="00C85CA5"/>
    <w:rsid w:val="00C87207"/>
    <w:rsid w:val="00C916A2"/>
    <w:rsid w:val="00C91EBB"/>
    <w:rsid w:val="00C927C6"/>
    <w:rsid w:val="00C969B1"/>
    <w:rsid w:val="00CB1A6C"/>
    <w:rsid w:val="00CB24B8"/>
    <w:rsid w:val="00CB32D0"/>
    <w:rsid w:val="00CB4316"/>
    <w:rsid w:val="00CB59AF"/>
    <w:rsid w:val="00CB74AB"/>
    <w:rsid w:val="00CC0ECC"/>
    <w:rsid w:val="00CC554B"/>
    <w:rsid w:val="00CD0DDF"/>
    <w:rsid w:val="00CD3988"/>
    <w:rsid w:val="00CD6D4F"/>
    <w:rsid w:val="00CE37F5"/>
    <w:rsid w:val="00CE462E"/>
    <w:rsid w:val="00CF0B32"/>
    <w:rsid w:val="00CF10DD"/>
    <w:rsid w:val="00CF410C"/>
    <w:rsid w:val="00D013AD"/>
    <w:rsid w:val="00D11F32"/>
    <w:rsid w:val="00D125E7"/>
    <w:rsid w:val="00D14812"/>
    <w:rsid w:val="00D35281"/>
    <w:rsid w:val="00D36E46"/>
    <w:rsid w:val="00D40809"/>
    <w:rsid w:val="00D44661"/>
    <w:rsid w:val="00D5049A"/>
    <w:rsid w:val="00D55D5C"/>
    <w:rsid w:val="00D56657"/>
    <w:rsid w:val="00D64C53"/>
    <w:rsid w:val="00D72526"/>
    <w:rsid w:val="00D7615E"/>
    <w:rsid w:val="00D93AEA"/>
    <w:rsid w:val="00D94689"/>
    <w:rsid w:val="00D94E20"/>
    <w:rsid w:val="00D96D06"/>
    <w:rsid w:val="00DA18B9"/>
    <w:rsid w:val="00DB28FD"/>
    <w:rsid w:val="00DB2CC7"/>
    <w:rsid w:val="00DB459C"/>
    <w:rsid w:val="00DB4B0D"/>
    <w:rsid w:val="00DB59E4"/>
    <w:rsid w:val="00DB5F61"/>
    <w:rsid w:val="00DC0D6E"/>
    <w:rsid w:val="00DC1A06"/>
    <w:rsid w:val="00DC7A89"/>
    <w:rsid w:val="00DD04DD"/>
    <w:rsid w:val="00DD0F4E"/>
    <w:rsid w:val="00DD22E9"/>
    <w:rsid w:val="00DD3942"/>
    <w:rsid w:val="00DD3F6E"/>
    <w:rsid w:val="00DD75EC"/>
    <w:rsid w:val="00DE4BD9"/>
    <w:rsid w:val="00DE6223"/>
    <w:rsid w:val="00DF0A55"/>
    <w:rsid w:val="00DF144B"/>
    <w:rsid w:val="00E2024E"/>
    <w:rsid w:val="00E259F3"/>
    <w:rsid w:val="00E33ADB"/>
    <w:rsid w:val="00E406B7"/>
    <w:rsid w:val="00E46AD7"/>
    <w:rsid w:val="00E47895"/>
    <w:rsid w:val="00E5385D"/>
    <w:rsid w:val="00E5643E"/>
    <w:rsid w:val="00E61AF8"/>
    <w:rsid w:val="00E61FB3"/>
    <w:rsid w:val="00E749BD"/>
    <w:rsid w:val="00E77AA1"/>
    <w:rsid w:val="00E905DB"/>
    <w:rsid w:val="00E90E34"/>
    <w:rsid w:val="00E91DDD"/>
    <w:rsid w:val="00E9686D"/>
    <w:rsid w:val="00E97437"/>
    <w:rsid w:val="00EA0EB6"/>
    <w:rsid w:val="00EA206F"/>
    <w:rsid w:val="00EA578A"/>
    <w:rsid w:val="00EA7860"/>
    <w:rsid w:val="00EB314E"/>
    <w:rsid w:val="00EB3A80"/>
    <w:rsid w:val="00EB5598"/>
    <w:rsid w:val="00EC089B"/>
    <w:rsid w:val="00EC23D8"/>
    <w:rsid w:val="00EC28C1"/>
    <w:rsid w:val="00EC3ABF"/>
    <w:rsid w:val="00ED08C7"/>
    <w:rsid w:val="00ED0BC8"/>
    <w:rsid w:val="00EE1B83"/>
    <w:rsid w:val="00EE7F8D"/>
    <w:rsid w:val="00EF1D9F"/>
    <w:rsid w:val="00EF34DE"/>
    <w:rsid w:val="00EF6F9F"/>
    <w:rsid w:val="00EF7FBF"/>
    <w:rsid w:val="00F02546"/>
    <w:rsid w:val="00F130A9"/>
    <w:rsid w:val="00F14165"/>
    <w:rsid w:val="00F15742"/>
    <w:rsid w:val="00F31AF2"/>
    <w:rsid w:val="00F32658"/>
    <w:rsid w:val="00F3481C"/>
    <w:rsid w:val="00F47E07"/>
    <w:rsid w:val="00F53FDC"/>
    <w:rsid w:val="00F55D5E"/>
    <w:rsid w:val="00F579B7"/>
    <w:rsid w:val="00F619ED"/>
    <w:rsid w:val="00F61BEA"/>
    <w:rsid w:val="00F64EE7"/>
    <w:rsid w:val="00F70476"/>
    <w:rsid w:val="00F735BB"/>
    <w:rsid w:val="00F754AD"/>
    <w:rsid w:val="00F773C9"/>
    <w:rsid w:val="00F809AC"/>
    <w:rsid w:val="00F81380"/>
    <w:rsid w:val="00F8702D"/>
    <w:rsid w:val="00F94997"/>
    <w:rsid w:val="00F950C7"/>
    <w:rsid w:val="00FA39FC"/>
    <w:rsid w:val="00FB49B5"/>
    <w:rsid w:val="00FB6F29"/>
    <w:rsid w:val="00FB7D77"/>
    <w:rsid w:val="00FD2DC3"/>
    <w:rsid w:val="00FD3A8A"/>
    <w:rsid w:val="00FD49C1"/>
    <w:rsid w:val="00FD72C8"/>
    <w:rsid w:val="00FD7D22"/>
    <w:rsid w:val="00FE1167"/>
    <w:rsid w:val="00FE6260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0A88EF"/>
  <w15:chartTrackingRefBased/>
  <w15:docId w15:val="{74512D6D-2098-4DC5-BE38-15012837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9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</w:style>
  <w:style w:type="paragraph" w:customStyle="1" w:styleId="N111">
    <w:name w:val="N 1.1.1"/>
    <w:basedOn w:val="N11"/>
    <w:link w:val="N111Char"/>
    <w:qFormat/>
    <w:rsid w:val="00800576"/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  <w:numId w:val="9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9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39"/>
    <w:rsid w:val="00F4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962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62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627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62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627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9554-478A-4D18-B5B5-4C8D720E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1</TotalTime>
  <Pages>10</Pages>
  <Words>2531</Words>
  <Characters>13673</Characters>
  <Application>Microsoft Office Word</Application>
  <DocSecurity>8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Denis Prates</cp:lastModifiedBy>
  <cp:revision>3</cp:revision>
  <cp:lastPrinted>2019-04-17T17:26:00Z</cp:lastPrinted>
  <dcterms:created xsi:type="dcterms:W3CDTF">2019-04-17T17:27:00Z</dcterms:created>
  <dcterms:modified xsi:type="dcterms:W3CDTF">2019-04-17T17:28:00Z</dcterms:modified>
</cp:coreProperties>
</file>