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5330" w14:textId="77777777" w:rsidR="00B03230" w:rsidRPr="00DC52F6" w:rsidRDefault="00B03230" w:rsidP="00DC52F6">
      <w:pPr>
        <w:pStyle w:val="Ttulo3"/>
        <w:shd w:val="clear" w:color="auto" w:fill="1F3864" w:themeFill="accent1" w:themeFillShade="80"/>
        <w:spacing w:before="0" w:line="240" w:lineRule="auto"/>
        <w:jc w:val="center"/>
        <w:rPr>
          <w:rStyle w:val="Forte"/>
          <w:rFonts w:ascii="Cambria" w:hAnsi="Cambria"/>
          <w:color w:val="FFFFFF" w:themeColor="background1"/>
          <w:sz w:val="32"/>
          <w:szCs w:val="32"/>
        </w:rPr>
      </w:pPr>
      <w:bookmarkStart w:id="0" w:name="_Toc77087505"/>
      <w:r w:rsidRPr="00DC52F6">
        <w:rPr>
          <w:rStyle w:val="Forte"/>
          <w:rFonts w:ascii="Cambria" w:hAnsi="Cambria"/>
          <w:color w:val="FFFFFF" w:themeColor="background1"/>
          <w:sz w:val="32"/>
          <w:szCs w:val="32"/>
        </w:rPr>
        <w:t>Anexo</w:t>
      </w:r>
      <w:r w:rsidR="00945770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I</w:t>
      </w:r>
      <w:r w:rsidR="00F115B7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- </w:t>
      </w:r>
      <w:r w:rsidRPr="00DC52F6">
        <w:rPr>
          <w:rStyle w:val="Forte"/>
          <w:rFonts w:ascii="Cambria" w:hAnsi="Cambria"/>
          <w:color w:val="FFFFFF" w:themeColor="background1"/>
          <w:sz w:val="32"/>
          <w:szCs w:val="32"/>
        </w:rPr>
        <w:t>Planejamento Anual</w:t>
      </w:r>
      <w:bookmarkEnd w:id="0"/>
    </w:p>
    <w:p w14:paraId="01C3229F" w14:textId="77777777" w:rsidR="00B03230" w:rsidRPr="009D7739" w:rsidRDefault="00B03230" w:rsidP="00646D45">
      <w:pPr>
        <w:autoSpaceDE w:val="0"/>
        <w:autoSpaceDN w:val="0"/>
        <w:adjustRightInd w:val="0"/>
        <w:jc w:val="center"/>
        <w:rPr>
          <w:rFonts w:ascii="Cambria" w:hAnsi="Cambria" w:cs="Arial"/>
          <w:iCs/>
          <w:color w:val="FF0000"/>
          <w:sz w:val="24"/>
          <w:szCs w:val="24"/>
        </w:rPr>
      </w:pPr>
      <w:r w:rsidRPr="009D7739">
        <w:rPr>
          <w:rFonts w:ascii="Cambria" w:hAnsi="Cambria" w:cs="Arial"/>
          <w:iCs/>
          <w:color w:val="FF0000"/>
          <w:sz w:val="24"/>
          <w:szCs w:val="24"/>
        </w:rPr>
        <w:t xml:space="preserve">[o texto apresentado entre colchetes </w:t>
      </w:r>
      <w:proofErr w:type="gramStart"/>
      <w:r w:rsidRPr="009D7739">
        <w:rPr>
          <w:rFonts w:ascii="Cambria" w:hAnsi="Cambria" w:cs="Arial"/>
          <w:iCs/>
          <w:color w:val="FF0000"/>
          <w:sz w:val="24"/>
          <w:szCs w:val="24"/>
        </w:rPr>
        <w:t>“[ ]</w:t>
      </w:r>
      <w:proofErr w:type="gramEnd"/>
      <w:r w:rsidRPr="009D7739">
        <w:rPr>
          <w:rFonts w:ascii="Cambria" w:hAnsi="Cambria" w:cs="Arial"/>
          <w:iCs/>
          <w:color w:val="FF0000"/>
          <w:sz w:val="24"/>
          <w:szCs w:val="24"/>
        </w:rPr>
        <w:t>” deve ser removido do documento</w:t>
      </w:r>
    </w:p>
    <w:p w14:paraId="3613DA7F" w14:textId="77777777" w:rsidR="00B03230" w:rsidRPr="00D22FE5" w:rsidRDefault="00B03230" w:rsidP="00B03230">
      <w:pPr>
        <w:autoSpaceDE w:val="0"/>
        <w:autoSpaceDN w:val="0"/>
        <w:adjustRightInd w:val="0"/>
        <w:jc w:val="both"/>
        <w:rPr>
          <w:rFonts w:ascii="Cambria" w:hAnsi="Cambria" w:cs="Arial"/>
          <w:iCs/>
          <w:color w:val="0D0D0D" w:themeColor="text1" w:themeTint="F2"/>
          <w:sz w:val="24"/>
          <w:szCs w:val="24"/>
        </w:rPr>
      </w:pPr>
    </w:p>
    <w:p w14:paraId="32B1FE7A" w14:textId="77777777" w:rsidR="00B03230" w:rsidRPr="00D22FE5" w:rsidRDefault="00B03230" w:rsidP="00B03230">
      <w:pPr>
        <w:autoSpaceDE w:val="0"/>
        <w:autoSpaceDN w:val="0"/>
        <w:adjustRightInd w:val="0"/>
        <w:jc w:val="both"/>
        <w:rPr>
          <w:rFonts w:ascii="Cambria" w:hAnsi="Cambria" w:cs="Arial"/>
          <w:iCs/>
          <w:color w:val="0D0D0D" w:themeColor="text1" w:themeTint="F2"/>
          <w:sz w:val="24"/>
          <w:szCs w:val="24"/>
        </w:rPr>
      </w:pPr>
    </w:p>
    <w:p w14:paraId="717C4B9C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PLANEJAMENTO ANUAL PARA CONFERÊNCIA DOS PONTOS DE CONTROLE DE RESPON</w:t>
      </w:r>
      <w:r w:rsidR="001C140D"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S</w:t>
      </w: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ABILIDADE DA UECI</w:t>
      </w:r>
    </w:p>
    <w:p w14:paraId="486D8FD7" w14:textId="77777777" w:rsidR="00B03230" w:rsidRPr="00D22FE5" w:rsidRDefault="00B03230" w:rsidP="00B03230">
      <w:pPr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</w:p>
    <w:p w14:paraId="2E3401CD" w14:textId="77777777" w:rsidR="00B03230" w:rsidRPr="00D22FE5" w:rsidRDefault="00B03230" w:rsidP="00B03230">
      <w:pPr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</w:p>
    <w:p w14:paraId="1C35CF05" w14:textId="77777777" w:rsidR="00B03230" w:rsidRPr="00D22FE5" w:rsidRDefault="00B03230" w:rsidP="00B03230">
      <w:pPr>
        <w:spacing w:line="360" w:lineRule="auto"/>
        <w:jc w:val="both"/>
        <w:rPr>
          <w:rFonts w:ascii="Cambria" w:hAnsi="Cambria" w:cs="Arial"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Unidade Gestora Emitente: 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 xml:space="preserve">unidade gestora da respectiva 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Prestação de Contas Anual]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br/>
      </w: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Código da Unidade Gestora Emitente: 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código da unidade gestora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]</w:t>
      </w:r>
    </w:p>
    <w:p w14:paraId="5753B979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Exercício: 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exercício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41FF3BD0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77A660C4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44DB46F9" w14:textId="77777777" w:rsidR="00B03230" w:rsidRPr="00D22FE5" w:rsidRDefault="00B03230" w:rsidP="00F568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 xml:space="preserve"> INTRODUÇÃO</w:t>
      </w:r>
    </w:p>
    <w:p w14:paraId="2B3E9D65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1C28E47D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A Unidade Executora de Controle Interno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apresenta o Planejamento Anual das Atividades de Controle Interno, no qual são previstas as ações de controle referentes ao exercício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], visando à elaboração do Relatório e Parecer Conclusivo de Unidade Executora de Controle Interno (RELUCI).</w:t>
      </w:r>
    </w:p>
    <w:p w14:paraId="67D25D1C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0C4AE2E0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Considerando a LC nº 856/2017, Decreto nº 4.131-R/2017 e a Norma de Procedimento – SCI Nº 003, aprovada pela Resolução CONSECT nº 013/2017, o modelo de RELUCI estabelecido pelo TCEES contempla atividades de controle de responsabilidade da UECI e do OCCI-SECONT. A elaboração do RELUCI seguiu as orientações propostas pela SECONT, ficando a cargo da UECI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as atividades constantes do Anexo I da citada Norma de Procedimento.</w:t>
      </w:r>
    </w:p>
    <w:p w14:paraId="2FEE6DD6" w14:textId="77777777" w:rsidR="00B03230" w:rsidRPr="00D22FE5" w:rsidRDefault="00B03230" w:rsidP="00B03230">
      <w:pPr>
        <w:tabs>
          <w:tab w:val="num" w:pos="720"/>
        </w:tabs>
        <w:spacing w:line="36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68F88900" w14:textId="77777777" w:rsidR="00B03230" w:rsidRPr="00D22FE5" w:rsidRDefault="00B03230" w:rsidP="00F56874">
      <w:pPr>
        <w:numPr>
          <w:ilvl w:val="0"/>
          <w:numId w:val="4"/>
        </w:numPr>
        <w:spacing w:after="0" w:line="240" w:lineRule="auto"/>
        <w:ind w:left="350"/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PLANEJAMENTO ANUAL PARA CONFERÊNCIA DOS PONTOS DE CONTROLE DE RESPONSABILIDADE DA UECI</w:t>
      </w:r>
    </w:p>
    <w:p w14:paraId="21ACB22C" w14:textId="77777777" w:rsidR="00B03230" w:rsidRPr="00D22FE5" w:rsidRDefault="00B03230" w:rsidP="00B03230">
      <w:pPr>
        <w:spacing w:line="12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793C0E68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 planejamento das atividades de controle interno considerou as normas do Tribunal de Contas do Espírito Santo (TCEES) e da Secretaria de Estado de Controle e Transparência (SECONT), e foi construído considerando os seguintes fatores:</w:t>
      </w:r>
    </w:p>
    <w:p w14:paraId="1001B67A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2CC22231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capacidade técnica e operacional da Unidade Executora de Controle Interno;</w:t>
      </w:r>
    </w:p>
    <w:p w14:paraId="2EA66A4C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lastRenderedPageBreak/>
        <w:t>modelo proposto pela SECONT para as atividades a cargo da UECI, conforme o Norma de Procedimento – SCI Nº 003 e Manual de Orientações para Emissão do RELUCI;</w:t>
      </w:r>
    </w:p>
    <w:p w14:paraId="4148BDCD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criticidade e vulnerabilidade de itens específicos, constantes das amostras selecionadas;</w:t>
      </w:r>
    </w:p>
    <w:p w14:paraId="1EA6334C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materialidade dos itens de despesas executados com base no orçamento próprio;</w:t>
      </w:r>
    </w:p>
    <w:p w14:paraId="690AAB92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disponibilidade de horas para execução das atividades de conferências, conforme Cálculo de Horas Disponíveis para Conferência dos Pontos de Controle UECI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referente as Contas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].</w:t>
      </w:r>
    </w:p>
    <w:p w14:paraId="5964EC62" w14:textId="77777777" w:rsidR="00646D45" w:rsidRPr="00D22FE5" w:rsidRDefault="00646D45" w:rsidP="00646D45">
      <w:pPr>
        <w:spacing w:after="120" w:line="24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0FCD5E78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Cálculo das horas disponíveis para execução das atividades de controle interno</w:t>
      </w:r>
    </w:p>
    <w:p w14:paraId="54ADE687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Para apuração do tempo necessário para a realização das atividades de controle interno, foram considerados os dias úteis disponíveis entre abril do exercício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até o mês de março do exercício subsequente, o quantitativo de servidores à disposição dessas atividades, a disponibilidade da jornada de trabalho, as horas disponíveis para o desempenho dessas atividades, os finais de semana e feriados constantes do calendário oficial, conforme demonstrado da tabela abaixo.</w:t>
      </w:r>
    </w:p>
    <w:p w14:paraId="2E71A714" w14:textId="77777777" w:rsidR="00646D45" w:rsidRPr="00646D45" w:rsidRDefault="00646D45" w:rsidP="00B03230">
      <w:pPr>
        <w:jc w:val="both"/>
        <w:rPr>
          <w:rFonts w:ascii="Cambria" w:hAnsi="Cambria" w:cs="Arial"/>
          <w:sz w:val="24"/>
          <w:szCs w:val="24"/>
        </w:rPr>
      </w:pPr>
    </w:p>
    <w:p w14:paraId="59238288" w14:textId="77777777" w:rsidR="00B03230" w:rsidRPr="00646D45" w:rsidRDefault="00B03230" w:rsidP="00B03230">
      <w:pPr>
        <w:spacing w:after="120"/>
        <w:jc w:val="both"/>
        <w:rPr>
          <w:rFonts w:ascii="Cambria" w:hAnsi="Cambria" w:cs="Arial"/>
          <w:b/>
          <w:sz w:val="24"/>
          <w:szCs w:val="24"/>
        </w:rPr>
      </w:pPr>
      <w:r w:rsidRPr="00646D45">
        <w:rPr>
          <w:rFonts w:ascii="Cambria" w:hAnsi="Cambria" w:cs="Arial"/>
          <w:b/>
          <w:sz w:val="24"/>
          <w:szCs w:val="24"/>
        </w:rPr>
        <w:t>Cálculo de Horas Disponíveis - Contas/XXXX: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88"/>
        <w:gridCol w:w="993"/>
        <w:gridCol w:w="850"/>
        <w:gridCol w:w="709"/>
        <w:gridCol w:w="850"/>
        <w:gridCol w:w="851"/>
        <w:gridCol w:w="996"/>
        <w:gridCol w:w="784"/>
        <w:gridCol w:w="1106"/>
        <w:gridCol w:w="1197"/>
      </w:tblGrid>
      <w:tr w:rsidR="00646D45" w:rsidRPr="00FE0F36" w14:paraId="45E41D0B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537432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9D855F" w14:textId="77777777" w:rsidR="00B03230" w:rsidRPr="00FE0F36" w:rsidRDefault="00B03230" w:rsidP="00FE0F36">
            <w:pPr>
              <w:spacing w:after="0"/>
              <w:ind w:left="-86" w:right="-108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no mês</w:t>
            </w:r>
          </w:p>
          <w:p w14:paraId="341253DF" w14:textId="77777777" w:rsidR="00B03230" w:rsidRPr="00FE0F36" w:rsidRDefault="00B03230" w:rsidP="00FE0F36">
            <w:pPr>
              <w:spacing w:after="0"/>
              <w:ind w:left="-86" w:right="-108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285AFE" w14:textId="77777777" w:rsidR="00B03230" w:rsidRPr="00FE0F36" w:rsidRDefault="00B03230" w:rsidP="0076700E">
            <w:pPr>
              <w:spacing w:after="0"/>
              <w:ind w:left="-94" w:right="-52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final de semana e feriado</w:t>
            </w:r>
          </w:p>
          <w:p w14:paraId="2D3798F8" w14:textId="77777777" w:rsidR="00B03230" w:rsidRPr="00FE0F36" w:rsidRDefault="00B03230" w:rsidP="0076700E">
            <w:pPr>
              <w:spacing w:after="0"/>
              <w:ind w:left="-94" w:right="-5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F41BA3" w14:textId="77777777" w:rsidR="00B03230" w:rsidRPr="00FE0F36" w:rsidRDefault="00B03230" w:rsidP="0076700E">
            <w:pPr>
              <w:spacing w:after="0"/>
              <w:ind w:left="-91" w:right="-55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úteis</w:t>
            </w:r>
          </w:p>
          <w:p w14:paraId="57D5293C" w14:textId="77777777" w:rsidR="00B03230" w:rsidRPr="00FE0F36" w:rsidRDefault="00B03230" w:rsidP="0076700E">
            <w:pPr>
              <w:spacing w:after="0"/>
              <w:ind w:left="-91" w:right="-5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(c)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a-b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9BC7A7" w14:textId="77777777" w:rsidR="00B03230" w:rsidRPr="00FE0F36" w:rsidRDefault="00B03230" w:rsidP="0076700E">
            <w:pPr>
              <w:spacing w:after="0"/>
              <w:ind w:left="-116" w:right="-91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serv. UECI</w:t>
            </w:r>
          </w:p>
          <w:p w14:paraId="1E4717E1" w14:textId="77777777" w:rsidR="00B03230" w:rsidRPr="00FE0F36" w:rsidRDefault="00B03230" w:rsidP="0076700E">
            <w:pPr>
              <w:spacing w:after="0"/>
              <w:ind w:left="-116" w:right="-91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6BCDC9" w14:textId="77777777" w:rsidR="00B03230" w:rsidRPr="00FE0F36" w:rsidRDefault="00B03230" w:rsidP="0076700E">
            <w:pPr>
              <w:spacing w:after="0"/>
              <w:ind w:left="-99" w:right="-12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total</w:t>
            </w:r>
          </w:p>
          <w:p w14:paraId="4AC25097" w14:textId="77777777" w:rsidR="00B03230" w:rsidRPr="00FE0F36" w:rsidRDefault="00B03230" w:rsidP="00652945">
            <w:pPr>
              <w:spacing w:after="0"/>
              <w:ind w:left="-99" w:right="-12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(e)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c</w:t>
            </w:r>
            <w:r w:rsidR="00652945">
              <w:rPr>
                <w:rFonts w:ascii="Cambria" w:hAnsi="Cambria" w:cs="Arial"/>
                <w:b/>
                <w:sz w:val="16"/>
                <w:szCs w:val="16"/>
              </w:rPr>
              <w:t>.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d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A9004" w14:textId="77777777" w:rsidR="00B03230" w:rsidRPr="00FE0F36" w:rsidRDefault="00B03230" w:rsidP="0076700E">
            <w:pPr>
              <w:spacing w:after="0"/>
              <w:ind w:left="-7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úteis de férias</w:t>
            </w:r>
            <w:r w:rsidRPr="0076700E">
              <w:rPr>
                <w:rFonts w:ascii="Cambria" w:eastAsia="Cambria" w:hAnsi="Cambria" w:cs="Arial"/>
                <w:b/>
                <w:sz w:val="16"/>
                <w:szCs w:val="16"/>
                <w:vertAlign w:val="superscript"/>
              </w:rPr>
              <w:footnoteReference w:id="1"/>
            </w:r>
          </w:p>
          <w:p w14:paraId="1393B728" w14:textId="77777777" w:rsidR="00B03230" w:rsidRPr="00FE0F36" w:rsidRDefault="00B03230" w:rsidP="0076700E">
            <w:pPr>
              <w:spacing w:after="0"/>
              <w:ind w:left="-7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(f)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E63ADF" w14:textId="77777777" w:rsidR="00B03230" w:rsidRPr="00FE0F36" w:rsidRDefault="00B03230" w:rsidP="00645DF0">
            <w:pPr>
              <w:spacing w:after="0"/>
              <w:ind w:left="-80" w:right="-8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disponíveis</w:t>
            </w:r>
          </w:p>
          <w:p w14:paraId="2F6D3F79" w14:textId="77777777" w:rsidR="00B03230" w:rsidRPr="00FE0F36" w:rsidRDefault="00B03230" w:rsidP="00645DF0">
            <w:pPr>
              <w:spacing w:after="0"/>
              <w:ind w:left="-80" w:right="-8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(g)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e-f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28E338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Carga horária diária</w:t>
            </w:r>
          </w:p>
          <w:p w14:paraId="74A1A226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(h)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D67E97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Total de horas</w:t>
            </w:r>
          </w:p>
          <w:p w14:paraId="7AC3718B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(i) = (g x h)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E7EA17" w14:textId="77777777" w:rsidR="00B03230" w:rsidRPr="00FE0F36" w:rsidRDefault="00B03230" w:rsidP="00645DF0">
            <w:pPr>
              <w:spacing w:after="0"/>
              <w:ind w:left="-99" w:right="-6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Horas disponíveis</w:t>
            </w:r>
          </w:p>
          <w:p w14:paraId="7A0C5349" w14:textId="77777777" w:rsidR="00B03230" w:rsidRPr="00FE0F36" w:rsidRDefault="00B03230" w:rsidP="00645DF0">
            <w:pPr>
              <w:spacing w:after="0"/>
              <w:ind w:left="-99" w:right="-6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(j)</w:t>
            </w:r>
            <w:r w:rsidR="00645DF0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=</w:t>
            </w:r>
            <w:r w:rsidR="00645DF0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(i x 20%)</w:t>
            </w:r>
            <w:r w:rsidRPr="00645DF0">
              <w:rPr>
                <w:rFonts w:ascii="Cambria" w:eastAsia="Cambria" w:hAnsi="Cambria" w:cs="Arial"/>
                <w:b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646D45" w:rsidRPr="00FE0F36" w14:paraId="1ACD22C1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3AFCD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01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C6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75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F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64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5B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C4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AD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5C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3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599E282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BB0F8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1A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16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EF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32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5D5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4F0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4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EB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CF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7A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04422DE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37B3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BE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08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6FC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C8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A5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DB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96C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01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2C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F4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2887768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FA7D3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CE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F2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AD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7F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3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63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0D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04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3A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47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00E4790F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599E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C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A6C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74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3B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E8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1A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19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30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DB8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224CA21A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04D6D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4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B5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93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B5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F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2A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11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64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83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D7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63AE9D0A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F37C6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8F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C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3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71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AD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2C6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AA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F1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F9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DF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6E479ED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CB79B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58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CF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ED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EE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00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5F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9F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C2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64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A4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1E09060F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2656E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C0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78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50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B3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73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9D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80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0B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8E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67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169A3366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3A2F7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9CA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EB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F9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0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0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D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F0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61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7E8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68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1268920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B2816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DB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5B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79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A6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88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C3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5B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A9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0C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997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78310F5E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675AE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3C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60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DC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E1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CA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DE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1E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F1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64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81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58DB070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278801" w14:textId="77777777" w:rsidR="00B03230" w:rsidRPr="00FE0F36" w:rsidRDefault="00B03230" w:rsidP="00FE0F36">
            <w:pPr>
              <w:spacing w:after="0"/>
              <w:ind w:left="-42" w:right="-51"/>
              <w:contextualSpacing/>
              <w:jc w:val="both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5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46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09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2B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86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22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F5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A9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B0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8D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</w:tbl>
    <w:p w14:paraId="17B67B3A" w14:textId="77777777" w:rsidR="00B03230" w:rsidRPr="00DB7B0B" w:rsidRDefault="00B03230" w:rsidP="00B03230">
      <w:pPr>
        <w:jc w:val="both"/>
        <w:rPr>
          <w:rFonts w:ascii="Cambria" w:hAnsi="Cambria" w:cs="Arial"/>
          <w:b/>
          <w:bCs/>
        </w:rPr>
      </w:pPr>
    </w:p>
    <w:p w14:paraId="4EA21EEF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Distribuição das horas disponíveis no exercício para execução das atividades de controle interno</w:t>
      </w:r>
    </w:p>
    <w:p w14:paraId="3C899FE0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A distribuição das horas disponíveis para conferência dos pontos de controle de responsabilidade da UECI levou em consideração padrões aceitáveis para o desenvolvimento de atividades correlatas, e ainda os fatores elencados no Item 2 do presente Planejamento.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93"/>
        <w:gridCol w:w="2551"/>
      </w:tblGrid>
      <w:tr w:rsidR="00B03230" w:rsidRPr="00D22FE5" w14:paraId="4F837815" w14:textId="77777777" w:rsidTr="001E1942">
        <w:trPr>
          <w:trHeight w:val="300"/>
        </w:trPr>
        <w:tc>
          <w:tcPr>
            <w:tcW w:w="9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C7212E" w14:textId="77777777" w:rsidR="00B03230" w:rsidRPr="00D22FE5" w:rsidRDefault="00B03230" w:rsidP="00B03230">
            <w:pPr>
              <w:spacing w:after="120"/>
              <w:jc w:val="both"/>
              <w:rPr>
                <w:rFonts w:ascii="Cambria" w:hAnsi="Cambria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20509C28" w14:textId="77777777" w:rsidR="00B03230" w:rsidRPr="00D22FE5" w:rsidRDefault="00B03230" w:rsidP="00B03230">
            <w:pPr>
              <w:spacing w:after="12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4"/>
                <w:szCs w:val="24"/>
              </w:rPr>
            </w:pPr>
            <w:r w:rsidRPr="00D22FE5">
              <w:rPr>
                <w:rFonts w:ascii="Cambria" w:hAnsi="Cambria" w:cs="Ari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Distribuição das Horas Disponíveis</w:t>
            </w:r>
          </w:p>
        </w:tc>
      </w:tr>
      <w:tr w:rsidR="00B03230" w:rsidRPr="00D22FE5" w14:paraId="594BAC34" w14:textId="77777777" w:rsidTr="00646D45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976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Atividades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6C86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Horas Disponíveis no exercício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A83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Percentual Aplicado</w:t>
            </w:r>
          </w:p>
        </w:tc>
      </w:tr>
      <w:tr w:rsidR="00B03230" w:rsidRPr="00D22FE5" w14:paraId="4815ACC8" w14:textId="77777777" w:rsidTr="00646D45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3483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Planejamento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D557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81D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77D8FC72" w14:textId="77777777" w:rsidTr="00646D45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25DC9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Execução das ações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956D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5349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6C96B533" w14:textId="77777777" w:rsidTr="00646D45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994F4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Elaboração e revisão do RELUCI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43214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F02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71FD698A" w14:textId="77777777" w:rsidTr="00646D45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45BC" w14:textId="77777777" w:rsidR="00B03230" w:rsidRPr="00D22FE5" w:rsidRDefault="00B03230" w:rsidP="00646D45">
            <w:pPr>
              <w:contextualSpacing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Total de Horas Disponíveis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A1FD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DC77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1C6C8B3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</w:rPr>
      </w:pPr>
    </w:p>
    <w:p w14:paraId="620E39E4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Planejamento Anual para conferência dos Pontos de Controle de Responsabilidade da UECI</w:t>
      </w:r>
    </w:p>
    <w:p w14:paraId="56CFC8E0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Os pontos de controle a serem avaliados foram os definidos na IN TCE-ES 68/2020, distribuídos na Norma de Procedimento – SCI Nº 003 e constam do Planejamento Anual para Conferência dos Pontos de Controle de Responsabilidade da UECI</w:t>
      </w:r>
      <w:r w:rsidRPr="00D22FE5">
        <w:rPr>
          <w:rFonts w:ascii="Cambria" w:eastAsia="Cambria" w:hAnsi="Cambria" w:cs="Arial"/>
          <w:color w:val="0D0D0D" w:themeColor="text1" w:themeTint="F2"/>
          <w:sz w:val="24"/>
          <w:szCs w:val="24"/>
          <w:vertAlign w:val="superscript"/>
        </w:rPr>
        <w:footnoteReference w:id="3"/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, em anexo</w:t>
      </w:r>
      <w:r w:rsidRPr="00D22FE5">
        <w:rPr>
          <w:rFonts w:ascii="Cambria" w:eastAsia="Cambria" w:hAnsi="Cambria" w:cs="Arial"/>
          <w:color w:val="0D0D0D" w:themeColor="text1" w:themeTint="F2"/>
          <w:sz w:val="24"/>
          <w:szCs w:val="24"/>
          <w:vertAlign w:val="superscript"/>
        </w:rPr>
        <w:footnoteReference w:id="4"/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.</w:t>
      </w:r>
    </w:p>
    <w:p w14:paraId="7C5A2C89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Os procedimentos correspondentes as atividades de controle interno considerarão as normas fixadas pela SECONT e os critérios de amostragem a serem definidos para cada objeto, conforme Folha de Trabalho para Conferência dos Pontos de Controle de responsabilidade da UECI.</w:t>
      </w:r>
    </w:p>
    <w:p w14:paraId="2A6B8AF1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7ABE0D19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Local e data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68097835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br/>
      </w: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Assinatura: 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Assinatura do coordenador e demais membros da UECI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4E557A78" w14:textId="77777777" w:rsidR="00672093" w:rsidRDefault="00672093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 w:type="page"/>
      </w:r>
    </w:p>
    <w:p w14:paraId="4048390B" w14:textId="77777777" w:rsidR="00A23F91" w:rsidRDefault="00A23F91" w:rsidP="00B03230">
      <w:pPr>
        <w:jc w:val="both"/>
        <w:rPr>
          <w:rFonts w:ascii="Cambria" w:hAnsi="Cambria" w:cs="Arial"/>
          <w:color w:val="000000"/>
        </w:rPr>
      </w:pPr>
      <w:r w:rsidRPr="00A23F91">
        <w:rPr>
          <w:noProof/>
          <w:lang w:eastAsia="pt-BR"/>
        </w:rPr>
        <w:lastRenderedPageBreak/>
        <w:drawing>
          <wp:inline distT="0" distB="0" distL="0" distR="0" wp14:anchorId="7DD4489C" wp14:editId="53F29742">
            <wp:extent cx="5961380" cy="8971807"/>
            <wp:effectExtent l="0" t="0" r="1270" b="127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27" cy="8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1209B" w14:textId="18D89A6A" w:rsidR="00A23F91" w:rsidRDefault="00B96D10">
      <w:pPr>
        <w:rPr>
          <w:rFonts w:ascii="Cambria" w:hAnsi="Cambria" w:cs="Arial"/>
          <w:color w:val="000000"/>
        </w:rPr>
      </w:pPr>
      <w:r w:rsidRPr="00B96D10">
        <w:rPr>
          <w:noProof/>
          <w:lang w:eastAsia="pt-BR"/>
        </w:rPr>
        <w:lastRenderedPageBreak/>
        <w:drawing>
          <wp:inline distT="0" distB="0" distL="0" distR="0" wp14:anchorId="1CA1B24B" wp14:editId="0241AFA2">
            <wp:extent cx="5962015" cy="8617802"/>
            <wp:effectExtent l="0" t="0" r="635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86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F91" w:rsidSect="00AB2ABD">
      <w:headerReference w:type="default" r:id="rId11"/>
      <w:footerReference w:type="default" r:id="rId12"/>
      <w:pgSz w:w="11906" w:h="16838"/>
      <w:pgMar w:top="1417" w:right="991" w:bottom="1417" w:left="15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03B5" w14:textId="77777777" w:rsidR="009D7739" w:rsidRDefault="009D7739" w:rsidP="00E36947">
      <w:pPr>
        <w:spacing w:after="0" w:line="240" w:lineRule="auto"/>
      </w:pPr>
      <w:r>
        <w:separator/>
      </w:r>
    </w:p>
  </w:endnote>
  <w:endnote w:type="continuationSeparator" w:id="0">
    <w:p w14:paraId="78D4DDE9" w14:textId="77777777" w:rsidR="009D7739" w:rsidRDefault="009D7739" w:rsidP="00E3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heSerif-Bold">
    <w:altName w:val="Cambria"/>
    <w:panose1 w:val="00000000000000000000"/>
    <w:charset w:val="00"/>
    <w:family w:val="roman"/>
    <w:notTrueType/>
    <w:pitch w:val="default"/>
  </w:font>
  <w:font w:name="TheSans-B2Extra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D9E9" w14:textId="77777777" w:rsidR="009D7739" w:rsidRDefault="009D7739" w:rsidP="00AB2ABD">
    <w:pPr>
      <w:pStyle w:val="Rodap"/>
      <w:tabs>
        <w:tab w:val="clear" w:pos="4252"/>
        <w:tab w:val="clear" w:pos="8504"/>
        <w:tab w:val="left" w:pos="3932"/>
      </w:tabs>
    </w:pPr>
    <w:sdt>
      <w:sdtPr>
        <w:id w:val="-1954004497"/>
        <w:docPartObj>
          <w:docPartGallery w:val="Page Numbers (Bottom of Page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04DDA5" wp14:editId="21B7C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9" name="Triângulo isósceles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31B91" w14:textId="32F9C21A" w:rsidR="009D7739" w:rsidRDefault="009D77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CF36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62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04DD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9" o:spid="_x0000_s1050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" adj="21600" fillcolor="#d2eaf1" stroked="f">
                  <v:textbox>
                    <w:txbxContent>
                      <w:p w14:paraId="76E31B91" w14:textId="32F9C21A" w:rsidR="007058EF" w:rsidRDefault="007058E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CF368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62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E2DF" w14:textId="77777777" w:rsidR="009D7739" w:rsidRDefault="009D7739" w:rsidP="00E36947">
      <w:pPr>
        <w:spacing w:after="0" w:line="240" w:lineRule="auto"/>
      </w:pPr>
      <w:r>
        <w:separator/>
      </w:r>
    </w:p>
  </w:footnote>
  <w:footnote w:type="continuationSeparator" w:id="0">
    <w:p w14:paraId="33769DE7" w14:textId="77777777" w:rsidR="009D7739" w:rsidRDefault="009D7739" w:rsidP="00E36947">
      <w:pPr>
        <w:spacing w:after="0" w:line="240" w:lineRule="auto"/>
      </w:pPr>
      <w:r>
        <w:continuationSeparator/>
      </w:r>
    </w:p>
  </w:footnote>
  <w:footnote w:id="1">
    <w:p w14:paraId="03D51930" w14:textId="77777777" w:rsidR="009D7739" w:rsidRDefault="009D7739" w:rsidP="00B03230">
      <w:pPr>
        <w:pStyle w:val="Corpodetexto"/>
        <w:rPr>
          <w:sz w:val="16"/>
          <w:szCs w:val="16"/>
        </w:rPr>
      </w:pPr>
      <w:r w:rsidRPr="00660C44">
        <w:rPr>
          <w:vertAlign w:val="superscript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Deve ser considerado a soma de dias úteis de férias de cada servidor que integra a UECI;</w:t>
      </w:r>
    </w:p>
  </w:footnote>
  <w:footnote w:id="2">
    <w:p w14:paraId="213400BC" w14:textId="77777777" w:rsidR="009D7739" w:rsidRDefault="009D7739" w:rsidP="00B03230">
      <w:pPr>
        <w:pStyle w:val="Corpodetexto"/>
      </w:pPr>
      <w:r w:rsidRPr="00660C44"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 xml:space="preserve">No </w:t>
      </w:r>
      <w:r>
        <w:rPr>
          <w:sz w:val="16"/>
          <w:szCs w:val="16"/>
        </w:rPr>
        <w:t>modelo apresentado foi considerado que os servidores da UECI dedicam 20% das horas disponíveis às atividades da UECI, no caso em que a referida dedicação representar outro percentual o mesmo deverá ser informado na tabela.</w:t>
      </w:r>
    </w:p>
  </w:footnote>
  <w:footnote w:id="3">
    <w:p w14:paraId="630CEBE9" w14:textId="77777777" w:rsidR="009D7739" w:rsidRPr="00E06081" w:rsidRDefault="009D7739" w:rsidP="00E06081">
      <w:pPr>
        <w:pStyle w:val="Corpodetexto"/>
        <w:spacing w:after="120"/>
        <w:ind w:left="98" w:hanging="98"/>
        <w:jc w:val="both"/>
        <w:rPr>
          <w:rFonts w:cs="Arial"/>
          <w:sz w:val="16"/>
          <w:szCs w:val="16"/>
        </w:rPr>
      </w:pPr>
      <w:r w:rsidRPr="00E06081"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</w:t>
      </w:r>
      <w:r w:rsidRPr="00E06081">
        <w:rPr>
          <w:rFonts w:cs="Arial"/>
          <w:sz w:val="16"/>
          <w:szCs w:val="16"/>
        </w:rPr>
        <w:t xml:space="preserve">O </w:t>
      </w:r>
      <w:r w:rsidRPr="00E06081">
        <w:rPr>
          <w:rFonts w:cs="Arial"/>
          <w:sz w:val="16"/>
          <w:szCs w:val="16"/>
        </w:rPr>
        <w:t>modelo de Planejamento Anual em anexo deverá conter todos os pontos de controle de responsabilidade da UECI, conforme definido na Norma de Procedimento – SCI Nº 003, selecionados para analise no exercício a que se refere a Prestação de Contas;</w:t>
      </w:r>
    </w:p>
  </w:footnote>
  <w:footnote w:id="4">
    <w:p w14:paraId="01C32BA8" w14:textId="77777777" w:rsidR="009D7739" w:rsidRPr="00E06081" w:rsidRDefault="009D7739" w:rsidP="00E06081">
      <w:pPr>
        <w:pStyle w:val="Corpodetexto"/>
        <w:spacing w:after="120"/>
        <w:ind w:left="98" w:hanging="98"/>
        <w:jc w:val="both"/>
        <w:rPr>
          <w:rFonts w:cs="Arial"/>
          <w:sz w:val="16"/>
          <w:szCs w:val="16"/>
        </w:rPr>
      </w:pPr>
      <w:r w:rsidRPr="00E06081">
        <w:rPr>
          <w:rFonts w:cs="Arial"/>
          <w:sz w:val="16"/>
          <w:szCs w:val="16"/>
          <w:vertAlign w:val="superscript"/>
        </w:rPr>
        <w:footnoteRef/>
      </w:r>
      <w:r w:rsidRPr="00E06081">
        <w:rPr>
          <w:rFonts w:cs="Arial"/>
          <w:sz w:val="16"/>
          <w:szCs w:val="16"/>
          <w:vertAlign w:val="superscript"/>
        </w:rPr>
        <w:t xml:space="preserve"> </w:t>
      </w:r>
      <w:r w:rsidRPr="00E06081">
        <w:rPr>
          <w:rFonts w:cs="Arial"/>
          <w:sz w:val="16"/>
          <w:szCs w:val="16"/>
        </w:rPr>
        <w:t xml:space="preserve">O </w:t>
      </w:r>
      <w:r w:rsidRPr="00E06081">
        <w:rPr>
          <w:rFonts w:cs="Arial"/>
          <w:sz w:val="16"/>
          <w:szCs w:val="16"/>
        </w:rPr>
        <w:t>Planejamento Anual, em anexo, identificado como GERAL aplica-se a todas as unidades gestoras, enquanto que o identificado como RPPS aplica-se somente para unidade gestora responsável pelo Regime Próprio de Previdência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590A" w14:textId="77777777" w:rsidR="009D7739" w:rsidRDefault="009D7739" w:rsidP="001E1942">
    <w:pPr>
      <w:pStyle w:val="Subttulo"/>
      <w:pBdr>
        <w:bottom w:val="single" w:sz="12" w:space="1" w:color="auto"/>
      </w:pBdr>
      <w:jc w:val="center"/>
      <w:rPr>
        <w:rFonts w:asciiTheme="majorHAnsi" w:hAnsiTheme="majorHAnsi" w:cstheme="majorHAnsi"/>
        <w:b/>
        <w:sz w:val="28"/>
        <w:szCs w:val="28"/>
      </w:rPr>
    </w:pPr>
    <w:bookmarkStart w:id="1" w:name="_Hlk76980414"/>
    <w:r w:rsidRPr="00A07426">
      <w:rPr>
        <w:rFonts w:asciiTheme="majorHAnsi" w:hAnsiTheme="majorHAnsi" w:cstheme="majorHAnsi"/>
        <w:b/>
        <w:sz w:val="28"/>
        <w:szCs w:val="28"/>
      </w:rPr>
      <w:t>Manual de Orientações para emissão do RELUCI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15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10F"/>
    <w:multiLevelType w:val="multilevel"/>
    <w:tmpl w:val="8D52021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552A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EE4BF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3B6570"/>
    <w:multiLevelType w:val="multilevel"/>
    <w:tmpl w:val="89C6FB0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520"/>
      </w:pPr>
      <w:rPr>
        <w:rFonts w:hint="default"/>
      </w:rPr>
    </w:lvl>
  </w:abstractNum>
  <w:abstractNum w:abstractNumId="5" w15:restartNumberingAfterBreak="0">
    <w:nsid w:val="076D201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7F27311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9A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524"/>
    <w:multiLevelType w:val="multilevel"/>
    <w:tmpl w:val="4EE05B4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08E85D4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D2055"/>
    <w:multiLevelType w:val="multilevel"/>
    <w:tmpl w:val="04BC13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0E841ED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EB61319"/>
    <w:multiLevelType w:val="hybridMultilevel"/>
    <w:tmpl w:val="045ED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426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512E10"/>
    <w:multiLevelType w:val="multilevel"/>
    <w:tmpl w:val="2E5E2E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790280"/>
    <w:multiLevelType w:val="hybridMultilevel"/>
    <w:tmpl w:val="1D58F86A"/>
    <w:lvl w:ilvl="0" w:tplc="226CED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06F5"/>
    <w:multiLevelType w:val="multilevel"/>
    <w:tmpl w:val="6248D96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7" w15:restartNumberingAfterBreak="0">
    <w:nsid w:val="119F27C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1CF70F1"/>
    <w:multiLevelType w:val="multilevel"/>
    <w:tmpl w:val="4116496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2934FB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E69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0736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7B12967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D6FE9"/>
    <w:multiLevelType w:val="multilevel"/>
    <w:tmpl w:val="317859B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18313B0F"/>
    <w:multiLevelType w:val="hybridMultilevel"/>
    <w:tmpl w:val="C70A7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428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84C5BD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801765"/>
    <w:multiLevelType w:val="hybridMultilevel"/>
    <w:tmpl w:val="BC2EE7C2"/>
    <w:lvl w:ilvl="0" w:tplc="3D0674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B4014CF"/>
    <w:multiLevelType w:val="hybridMultilevel"/>
    <w:tmpl w:val="82E656A6"/>
    <w:lvl w:ilvl="0" w:tplc="8D28D6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E6D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B8B48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6654B9"/>
    <w:multiLevelType w:val="multilevel"/>
    <w:tmpl w:val="1AE292D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2" w15:restartNumberingAfterBreak="0">
    <w:nsid w:val="1F6E655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172469F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1AE5375"/>
    <w:multiLevelType w:val="multilevel"/>
    <w:tmpl w:val="C2DCF1D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5" w15:restartNumberingAfterBreak="0">
    <w:nsid w:val="25503A68"/>
    <w:multiLevelType w:val="hybridMultilevel"/>
    <w:tmpl w:val="BA5608C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2C6E2451"/>
    <w:multiLevelType w:val="hybridMultilevel"/>
    <w:tmpl w:val="524244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7D6DC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2DC353B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2EAD6A01"/>
    <w:multiLevelType w:val="hybridMultilevel"/>
    <w:tmpl w:val="DC0C437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0A87"/>
    <w:multiLevelType w:val="hybridMultilevel"/>
    <w:tmpl w:val="0000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814F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445098E"/>
    <w:multiLevelType w:val="multilevel"/>
    <w:tmpl w:val="81B442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349C1322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4091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63E28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73E035F"/>
    <w:multiLevelType w:val="hybridMultilevel"/>
    <w:tmpl w:val="2938CAFC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377961F2"/>
    <w:multiLevelType w:val="hybridMultilevel"/>
    <w:tmpl w:val="B60208C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7B90520"/>
    <w:multiLevelType w:val="hybridMultilevel"/>
    <w:tmpl w:val="9454D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830A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B573E02"/>
    <w:multiLevelType w:val="multilevel"/>
    <w:tmpl w:val="1BE8E7F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1" w15:restartNumberingAfterBreak="0">
    <w:nsid w:val="3B8356D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3C54115E"/>
    <w:multiLevelType w:val="multilevel"/>
    <w:tmpl w:val="02E0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3" w15:restartNumberingAfterBreak="0">
    <w:nsid w:val="3FF4306C"/>
    <w:multiLevelType w:val="multilevel"/>
    <w:tmpl w:val="A03E07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54" w15:restartNumberingAfterBreak="0">
    <w:nsid w:val="42172FF8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871F7"/>
    <w:multiLevelType w:val="hybridMultilevel"/>
    <w:tmpl w:val="68A4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B0DC4"/>
    <w:multiLevelType w:val="multilevel"/>
    <w:tmpl w:val="8A08C7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7" w15:restartNumberingAfterBreak="0">
    <w:nsid w:val="468A60CF"/>
    <w:multiLevelType w:val="hybridMultilevel"/>
    <w:tmpl w:val="7A72C6D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C73AE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8D2561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A1E301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4A2D5F1D"/>
    <w:multiLevelType w:val="multilevel"/>
    <w:tmpl w:val="FE46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62" w15:restartNumberingAfterBreak="0">
    <w:nsid w:val="4A8C2AEA"/>
    <w:multiLevelType w:val="hybridMultilevel"/>
    <w:tmpl w:val="C5D64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E38A1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FB79C2"/>
    <w:multiLevelType w:val="multilevel"/>
    <w:tmpl w:val="EC52A4A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4EAE31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F011A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4F360AB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503019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5097671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1660EDE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36939B9"/>
    <w:multiLevelType w:val="multilevel"/>
    <w:tmpl w:val="5DE6A4A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2" w15:restartNumberingAfterBreak="0">
    <w:nsid w:val="54A34393"/>
    <w:multiLevelType w:val="hybridMultilevel"/>
    <w:tmpl w:val="4EC2D2A8"/>
    <w:lvl w:ilvl="0" w:tplc="0416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5527774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6B52E6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7034534"/>
    <w:multiLevelType w:val="multilevel"/>
    <w:tmpl w:val="37B0CCA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6" w15:restartNumberingAfterBreak="0">
    <w:nsid w:val="59183BA3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43276C"/>
    <w:multiLevelType w:val="hybridMultilevel"/>
    <w:tmpl w:val="3654C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C6F5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BB44A6F"/>
    <w:multiLevelType w:val="multilevel"/>
    <w:tmpl w:val="8132BF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520"/>
      </w:pPr>
      <w:rPr>
        <w:rFonts w:hint="default"/>
      </w:rPr>
    </w:lvl>
  </w:abstractNum>
  <w:abstractNum w:abstractNumId="80" w15:restartNumberingAfterBreak="0">
    <w:nsid w:val="5C4C1633"/>
    <w:multiLevelType w:val="multilevel"/>
    <w:tmpl w:val="8CC8593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4" w:hanging="945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520"/>
      </w:pPr>
      <w:rPr>
        <w:rFonts w:hint="default"/>
      </w:rPr>
    </w:lvl>
  </w:abstractNum>
  <w:abstractNum w:abstractNumId="81" w15:restartNumberingAfterBreak="0">
    <w:nsid w:val="5CB266F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027038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611D500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65844B4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5B76F7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673C2A7A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CB2AFF"/>
    <w:multiLevelType w:val="multilevel"/>
    <w:tmpl w:val="89806F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88" w15:restartNumberingAfterBreak="0">
    <w:nsid w:val="695F380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9EF424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6D6A52CC"/>
    <w:multiLevelType w:val="multilevel"/>
    <w:tmpl w:val="41C6D812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1" w15:restartNumberingAfterBreak="0">
    <w:nsid w:val="6E0B793D"/>
    <w:multiLevelType w:val="multilevel"/>
    <w:tmpl w:val="3334B0A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92" w15:restartNumberingAfterBreak="0">
    <w:nsid w:val="704A232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0694EAE"/>
    <w:multiLevelType w:val="multilevel"/>
    <w:tmpl w:val="003E81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94" w15:restartNumberingAfterBreak="0">
    <w:nsid w:val="71F232F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73BB278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3E60B3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5D41347"/>
    <w:multiLevelType w:val="hybridMultilevel"/>
    <w:tmpl w:val="8296158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73C7A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9" w15:restartNumberingAfterBreak="0">
    <w:nsid w:val="773E4C7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7D02E50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A46"/>
    <w:multiLevelType w:val="multilevel"/>
    <w:tmpl w:val="9F72849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2" w15:restartNumberingAfterBreak="0">
    <w:nsid w:val="791141A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7960363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7AA84B54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C50B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7C73227F"/>
    <w:multiLevelType w:val="multilevel"/>
    <w:tmpl w:val="2E7CC93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07" w15:restartNumberingAfterBreak="0">
    <w:nsid w:val="7D811B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E28243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7F081E2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7"/>
  </w:num>
  <w:num w:numId="2">
    <w:abstractNumId w:val="36"/>
  </w:num>
  <w:num w:numId="3">
    <w:abstractNumId w:val="39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6"/>
  </w:num>
  <w:num w:numId="8">
    <w:abstractNumId w:val="79"/>
  </w:num>
  <w:num w:numId="9">
    <w:abstractNumId w:val="86"/>
  </w:num>
  <w:num w:numId="10">
    <w:abstractNumId w:val="47"/>
  </w:num>
  <w:num w:numId="11">
    <w:abstractNumId w:val="104"/>
  </w:num>
  <w:num w:numId="12">
    <w:abstractNumId w:val="28"/>
  </w:num>
  <w:num w:numId="13">
    <w:abstractNumId w:val="24"/>
  </w:num>
  <w:num w:numId="14">
    <w:abstractNumId w:val="72"/>
  </w:num>
  <w:num w:numId="15">
    <w:abstractNumId w:val="97"/>
  </w:num>
  <w:num w:numId="16">
    <w:abstractNumId w:val="20"/>
  </w:num>
  <w:num w:numId="17">
    <w:abstractNumId w:val="76"/>
  </w:num>
  <w:num w:numId="18">
    <w:abstractNumId w:val="42"/>
  </w:num>
  <w:num w:numId="19">
    <w:abstractNumId w:val="77"/>
  </w:num>
  <w:num w:numId="20">
    <w:abstractNumId w:val="48"/>
  </w:num>
  <w:num w:numId="21">
    <w:abstractNumId w:val="87"/>
  </w:num>
  <w:num w:numId="22">
    <w:abstractNumId w:val="18"/>
  </w:num>
  <w:num w:numId="23">
    <w:abstractNumId w:val="71"/>
  </w:num>
  <w:num w:numId="24">
    <w:abstractNumId w:val="80"/>
  </w:num>
  <w:num w:numId="25">
    <w:abstractNumId w:val="91"/>
  </w:num>
  <w:num w:numId="26">
    <w:abstractNumId w:val="61"/>
  </w:num>
  <w:num w:numId="27">
    <w:abstractNumId w:val="93"/>
  </w:num>
  <w:num w:numId="28">
    <w:abstractNumId w:val="4"/>
  </w:num>
  <w:num w:numId="29">
    <w:abstractNumId w:val="22"/>
  </w:num>
  <w:num w:numId="30">
    <w:abstractNumId w:val="1"/>
  </w:num>
  <w:num w:numId="31">
    <w:abstractNumId w:val="64"/>
  </w:num>
  <w:num w:numId="32">
    <w:abstractNumId w:val="101"/>
  </w:num>
  <w:num w:numId="33">
    <w:abstractNumId w:val="14"/>
  </w:num>
  <w:num w:numId="34">
    <w:abstractNumId w:val="10"/>
  </w:num>
  <w:num w:numId="35">
    <w:abstractNumId w:val="75"/>
  </w:num>
  <w:num w:numId="36">
    <w:abstractNumId w:val="106"/>
  </w:num>
  <w:num w:numId="37">
    <w:abstractNumId w:val="31"/>
  </w:num>
  <w:num w:numId="38">
    <w:abstractNumId w:val="34"/>
  </w:num>
  <w:num w:numId="39">
    <w:abstractNumId w:val="23"/>
  </w:num>
  <w:num w:numId="40">
    <w:abstractNumId w:val="8"/>
  </w:num>
  <w:num w:numId="41">
    <w:abstractNumId w:val="16"/>
  </w:num>
  <w:num w:numId="42">
    <w:abstractNumId w:val="63"/>
  </w:num>
  <w:num w:numId="43">
    <w:abstractNumId w:val="12"/>
  </w:num>
  <w:num w:numId="44">
    <w:abstractNumId w:val="55"/>
  </w:num>
  <w:num w:numId="45">
    <w:abstractNumId w:val="15"/>
  </w:num>
  <w:num w:numId="46">
    <w:abstractNumId w:val="40"/>
  </w:num>
  <w:num w:numId="47">
    <w:abstractNumId w:val="6"/>
  </w:num>
  <w:num w:numId="48">
    <w:abstractNumId w:val="100"/>
  </w:num>
  <w:num w:numId="49">
    <w:abstractNumId w:val="19"/>
  </w:num>
  <w:num w:numId="50">
    <w:abstractNumId w:val="46"/>
  </w:num>
  <w:num w:numId="51">
    <w:abstractNumId w:val="43"/>
  </w:num>
  <w:num w:numId="52">
    <w:abstractNumId w:val="54"/>
  </w:num>
  <w:num w:numId="53">
    <w:abstractNumId w:val="7"/>
  </w:num>
  <w:num w:numId="54">
    <w:abstractNumId w:val="27"/>
  </w:num>
  <w:num w:numId="55">
    <w:abstractNumId w:val="90"/>
  </w:num>
  <w:num w:numId="56">
    <w:abstractNumId w:val="50"/>
  </w:num>
  <w:num w:numId="57">
    <w:abstractNumId w:val="53"/>
  </w:num>
  <w:num w:numId="58">
    <w:abstractNumId w:val="62"/>
  </w:num>
  <w:num w:numId="59">
    <w:abstractNumId w:val="96"/>
  </w:num>
  <w:num w:numId="60">
    <w:abstractNumId w:val="105"/>
  </w:num>
  <w:num w:numId="61">
    <w:abstractNumId w:val="66"/>
  </w:num>
  <w:num w:numId="62">
    <w:abstractNumId w:val="3"/>
  </w:num>
  <w:num w:numId="63">
    <w:abstractNumId w:val="21"/>
  </w:num>
  <w:num w:numId="64">
    <w:abstractNumId w:val="73"/>
  </w:num>
  <w:num w:numId="65">
    <w:abstractNumId w:val="109"/>
  </w:num>
  <w:num w:numId="66">
    <w:abstractNumId w:val="108"/>
  </w:num>
  <w:num w:numId="67">
    <w:abstractNumId w:val="95"/>
  </w:num>
  <w:num w:numId="68">
    <w:abstractNumId w:val="67"/>
  </w:num>
  <w:num w:numId="69">
    <w:abstractNumId w:val="85"/>
  </w:num>
  <w:num w:numId="70">
    <w:abstractNumId w:val="37"/>
  </w:num>
  <w:num w:numId="71">
    <w:abstractNumId w:val="58"/>
  </w:num>
  <w:num w:numId="72">
    <w:abstractNumId w:val="84"/>
  </w:num>
  <w:num w:numId="73">
    <w:abstractNumId w:val="99"/>
  </w:num>
  <w:num w:numId="74">
    <w:abstractNumId w:val="25"/>
  </w:num>
  <w:num w:numId="75">
    <w:abstractNumId w:val="65"/>
  </w:num>
  <w:num w:numId="76">
    <w:abstractNumId w:val="13"/>
  </w:num>
  <w:num w:numId="77">
    <w:abstractNumId w:val="2"/>
  </w:num>
  <w:num w:numId="78">
    <w:abstractNumId w:val="59"/>
  </w:num>
  <w:num w:numId="79">
    <w:abstractNumId w:val="11"/>
  </w:num>
  <w:num w:numId="80">
    <w:abstractNumId w:val="68"/>
  </w:num>
  <w:num w:numId="81">
    <w:abstractNumId w:val="33"/>
  </w:num>
  <w:num w:numId="82">
    <w:abstractNumId w:val="74"/>
  </w:num>
  <w:num w:numId="83">
    <w:abstractNumId w:val="81"/>
  </w:num>
  <w:num w:numId="84">
    <w:abstractNumId w:val="60"/>
  </w:num>
  <w:num w:numId="85">
    <w:abstractNumId w:val="41"/>
  </w:num>
  <w:num w:numId="86">
    <w:abstractNumId w:val="107"/>
  </w:num>
  <w:num w:numId="87">
    <w:abstractNumId w:val="69"/>
  </w:num>
  <w:num w:numId="88">
    <w:abstractNumId w:val="82"/>
  </w:num>
  <w:num w:numId="89">
    <w:abstractNumId w:val="38"/>
  </w:num>
  <w:num w:numId="90">
    <w:abstractNumId w:val="102"/>
  </w:num>
  <w:num w:numId="91">
    <w:abstractNumId w:val="30"/>
  </w:num>
  <w:num w:numId="92">
    <w:abstractNumId w:val="94"/>
  </w:num>
  <w:num w:numId="93">
    <w:abstractNumId w:val="51"/>
  </w:num>
  <w:num w:numId="94">
    <w:abstractNumId w:val="32"/>
  </w:num>
  <w:num w:numId="95">
    <w:abstractNumId w:val="70"/>
  </w:num>
  <w:num w:numId="96">
    <w:abstractNumId w:val="26"/>
  </w:num>
  <w:num w:numId="97">
    <w:abstractNumId w:val="98"/>
  </w:num>
  <w:num w:numId="98">
    <w:abstractNumId w:val="5"/>
  </w:num>
  <w:num w:numId="99">
    <w:abstractNumId w:val="17"/>
  </w:num>
  <w:num w:numId="100">
    <w:abstractNumId w:val="92"/>
  </w:num>
  <w:num w:numId="101">
    <w:abstractNumId w:val="89"/>
  </w:num>
  <w:num w:numId="102">
    <w:abstractNumId w:val="45"/>
  </w:num>
  <w:num w:numId="103">
    <w:abstractNumId w:val="29"/>
  </w:num>
  <w:num w:numId="104">
    <w:abstractNumId w:val="44"/>
  </w:num>
  <w:num w:numId="105">
    <w:abstractNumId w:val="83"/>
  </w:num>
  <w:num w:numId="106">
    <w:abstractNumId w:val="78"/>
  </w:num>
  <w:num w:numId="107">
    <w:abstractNumId w:val="103"/>
  </w:num>
  <w:num w:numId="108">
    <w:abstractNumId w:val="49"/>
  </w:num>
  <w:num w:numId="109">
    <w:abstractNumId w:val="88"/>
  </w:num>
  <w:num w:numId="110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D0"/>
    <w:rsid w:val="000014F8"/>
    <w:rsid w:val="00001CA4"/>
    <w:rsid w:val="00011C18"/>
    <w:rsid w:val="000153DE"/>
    <w:rsid w:val="0002035A"/>
    <w:rsid w:val="00022070"/>
    <w:rsid w:val="000240E7"/>
    <w:rsid w:val="000260F7"/>
    <w:rsid w:val="0002693F"/>
    <w:rsid w:val="00026ECF"/>
    <w:rsid w:val="00027AD1"/>
    <w:rsid w:val="000305B6"/>
    <w:rsid w:val="00031FF9"/>
    <w:rsid w:val="00034804"/>
    <w:rsid w:val="00042D8F"/>
    <w:rsid w:val="000472FF"/>
    <w:rsid w:val="000551CE"/>
    <w:rsid w:val="00057164"/>
    <w:rsid w:val="000702A3"/>
    <w:rsid w:val="00070B1B"/>
    <w:rsid w:val="000808CD"/>
    <w:rsid w:val="00081852"/>
    <w:rsid w:val="00084548"/>
    <w:rsid w:val="00084AD1"/>
    <w:rsid w:val="000863AD"/>
    <w:rsid w:val="00093374"/>
    <w:rsid w:val="00093DC7"/>
    <w:rsid w:val="00093DF4"/>
    <w:rsid w:val="000A1841"/>
    <w:rsid w:val="000A19A7"/>
    <w:rsid w:val="000A44E9"/>
    <w:rsid w:val="000A7025"/>
    <w:rsid w:val="000B3023"/>
    <w:rsid w:val="000B3386"/>
    <w:rsid w:val="000B62F3"/>
    <w:rsid w:val="000B7D61"/>
    <w:rsid w:val="000B7E7B"/>
    <w:rsid w:val="000C19B7"/>
    <w:rsid w:val="000C47D7"/>
    <w:rsid w:val="000C629D"/>
    <w:rsid w:val="000D0B12"/>
    <w:rsid w:val="000D3BA4"/>
    <w:rsid w:val="000D4326"/>
    <w:rsid w:val="000D6B74"/>
    <w:rsid w:val="000D6FC0"/>
    <w:rsid w:val="000D77D8"/>
    <w:rsid w:val="000E2787"/>
    <w:rsid w:val="000E3A70"/>
    <w:rsid w:val="000E3DC0"/>
    <w:rsid w:val="000E618D"/>
    <w:rsid w:val="000E76AC"/>
    <w:rsid w:val="000F0661"/>
    <w:rsid w:val="000F0A2B"/>
    <w:rsid w:val="000F3D82"/>
    <w:rsid w:val="000F5203"/>
    <w:rsid w:val="000F599F"/>
    <w:rsid w:val="00101633"/>
    <w:rsid w:val="001060DF"/>
    <w:rsid w:val="00106EBE"/>
    <w:rsid w:val="00110C62"/>
    <w:rsid w:val="00113AA3"/>
    <w:rsid w:val="00121A64"/>
    <w:rsid w:val="00123B29"/>
    <w:rsid w:val="001258A5"/>
    <w:rsid w:val="00130C7F"/>
    <w:rsid w:val="00134105"/>
    <w:rsid w:val="0013495F"/>
    <w:rsid w:val="001360B1"/>
    <w:rsid w:val="001438FB"/>
    <w:rsid w:val="00147057"/>
    <w:rsid w:val="00151B4E"/>
    <w:rsid w:val="001538F3"/>
    <w:rsid w:val="001548D6"/>
    <w:rsid w:val="00157704"/>
    <w:rsid w:val="001617AD"/>
    <w:rsid w:val="001650B4"/>
    <w:rsid w:val="001665CB"/>
    <w:rsid w:val="00170DC5"/>
    <w:rsid w:val="00173A09"/>
    <w:rsid w:val="0018143E"/>
    <w:rsid w:val="001826BC"/>
    <w:rsid w:val="00183ED1"/>
    <w:rsid w:val="00184AAA"/>
    <w:rsid w:val="00186ABE"/>
    <w:rsid w:val="00187148"/>
    <w:rsid w:val="0019755E"/>
    <w:rsid w:val="001A04B3"/>
    <w:rsid w:val="001A3F81"/>
    <w:rsid w:val="001A6BD3"/>
    <w:rsid w:val="001A7E68"/>
    <w:rsid w:val="001B782B"/>
    <w:rsid w:val="001C0278"/>
    <w:rsid w:val="001C140D"/>
    <w:rsid w:val="001C1DF3"/>
    <w:rsid w:val="001C304E"/>
    <w:rsid w:val="001C7D7B"/>
    <w:rsid w:val="001D1935"/>
    <w:rsid w:val="001D21F2"/>
    <w:rsid w:val="001D411A"/>
    <w:rsid w:val="001D43DC"/>
    <w:rsid w:val="001D4722"/>
    <w:rsid w:val="001E023C"/>
    <w:rsid w:val="001E1942"/>
    <w:rsid w:val="001E2C5D"/>
    <w:rsid w:val="001E37DB"/>
    <w:rsid w:val="001F1AD9"/>
    <w:rsid w:val="001F5B9D"/>
    <w:rsid w:val="002003AE"/>
    <w:rsid w:val="00200599"/>
    <w:rsid w:val="002032F9"/>
    <w:rsid w:val="00203953"/>
    <w:rsid w:val="0020642C"/>
    <w:rsid w:val="00207E21"/>
    <w:rsid w:val="00210D6A"/>
    <w:rsid w:val="00211BE6"/>
    <w:rsid w:val="00214C6B"/>
    <w:rsid w:val="00214CB8"/>
    <w:rsid w:val="00220720"/>
    <w:rsid w:val="002210FA"/>
    <w:rsid w:val="00222F0E"/>
    <w:rsid w:val="0022390D"/>
    <w:rsid w:val="00226F70"/>
    <w:rsid w:val="00227E85"/>
    <w:rsid w:val="00230973"/>
    <w:rsid w:val="002317D8"/>
    <w:rsid w:val="002366D8"/>
    <w:rsid w:val="0024389B"/>
    <w:rsid w:val="00245342"/>
    <w:rsid w:val="00245F9B"/>
    <w:rsid w:val="00254DBC"/>
    <w:rsid w:val="002620E2"/>
    <w:rsid w:val="00262FFB"/>
    <w:rsid w:val="002636D9"/>
    <w:rsid w:val="002657E0"/>
    <w:rsid w:val="002707FB"/>
    <w:rsid w:val="0027139D"/>
    <w:rsid w:val="00273100"/>
    <w:rsid w:val="0027625F"/>
    <w:rsid w:val="00276EFC"/>
    <w:rsid w:val="00280238"/>
    <w:rsid w:val="00281552"/>
    <w:rsid w:val="002836C9"/>
    <w:rsid w:val="00290784"/>
    <w:rsid w:val="00290FAD"/>
    <w:rsid w:val="00292C5E"/>
    <w:rsid w:val="00292CFD"/>
    <w:rsid w:val="002A2F2D"/>
    <w:rsid w:val="002A49E0"/>
    <w:rsid w:val="002A5460"/>
    <w:rsid w:val="002B3C44"/>
    <w:rsid w:val="002B631C"/>
    <w:rsid w:val="002C4F36"/>
    <w:rsid w:val="002C715A"/>
    <w:rsid w:val="002C796A"/>
    <w:rsid w:val="002D0538"/>
    <w:rsid w:val="002D0BD7"/>
    <w:rsid w:val="002D4414"/>
    <w:rsid w:val="002E0563"/>
    <w:rsid w:val="002E1D41"/>
    <w:rsid w:val="002E1E8E"/>
    <w:rsid w:val="002E2D7B"/>
    <w:rsid w:val="002E49A4"/>
    <w:rsid w:val="002E5FD7"/>
    <w:rsid w:val="002E7AAE"/>
    <w:rsid w:val="002F0073"/>
    <w:rsid w:val="002F0A9C"/>
    <w:rsid w:val="002F2057"/>
    <w:rsid w:val="002F469F"/>
    <w:rsid w:val="002F795E"/>
    <w:rsid w:val="003016B2"/>
    <w:rsid w:val="0030518B"/>
    <w:rsid w:val="00306948"/>
    <w:rsid w:val="00306A1C"/>
    <w:rsid w:val="00307AFC"/>
    <w:rsid w:val="0031081F"/>
    <w:rsid w:val="00310E5D"/>
    <w:rsid w:val="00314DF9"/>
    <w:rsid w:val="003311B6"/>
    <w:rsid w:val="00331DBC"/>
    <w:rsid w:val="00331F40"/>
    <w:rsid w:val="003328F0"/>
    <w:rsid w:val="00340E58"/>
    <w:rsid w:val="00344320"/>
    <w:rsid w:val="00344881"/>
    <w:rsid w:val="00347454"/>
    <w:rsid w:val="00361CDC"/>
    <w:rsid w:val="00362C46"/>
    <w:rsid w:val="00364080"/>
    <w:rsid w:val="0037091F"/>
    <w:rsid w:val="00372B31"/>
    <w:rsid w:val="00377765"/>
    <w:rsid w:val="00380C86"/>
    <w:rsid w:val="003828A0"/>
    <w:rsid w:val="00382D59"/>
    <w:rsid w:val="00382E7A"/>
    <w:rsid w:val="00383B89"/>
    <w:rsid w:val="003876FC"/>
    <w:rsid w:val="00391160"/>
    <w:rsid w:val="00393907"/>
    <w:rsid w:val="003A0DE1"/>
    <w:rsid w:val="003A0F2B"/>
    <w:rsid w:val="003B58D5"/>
    <w:rsid w:val="003B7C43"/>
    <w:rsid w:val="003C11F3"/>
    <w:rsid w:val="003C1B17"/>
    <w:rsid w:val="003C249D"/>
    <w:rsid w:val="003C6309"/>
    <w:rsid w:val="003D2176"/>
    <w:rsid w:val="003D35EB"/>
    <w:rsid w:val="003E191D"/>
    <w:rsid w:val="003E19CA"/>
    <w:rsid w:val="003E58DC"/>
    <w:rsid w:val="003E6B20"/>
    <w:rsid w:val="003F31DF"/>
    <w:rsid w:val="003F420C"/>
    <w:rsid w:val="003F5071"/>
    <w:rsid w:val="00403CBB"/>
    <w:rsid w:val="00404092"/>
    <w:rsid w:val="00404387"/>
    <w:rsid w:val="004149C6"/>
    <w:rsid w:val="00414B08"/>
    <w:rsid w:val="00414F89"/>
    <w:rsid w:val="00422618"/>
    <w:rsid w:val="00422D6F"/>
    <w:rsid w:val="00422EE3"/>
    <w:rsid w:val="004243BB"/>
    <w:rsid w:val="00427D19"/>
    <w:rsid w:val="0043174D"/>
    <w:rsid w:val="004378A9"/>
    <w:rsid w:val="00441717"/>
    <w:rsid w:val="00442F0E"/>
    <w:rsid w:val="0044418D"/>
    <w:rsid w:val="00446F81"/>
    <w:rsid w:val="004476EB"/>
    <w:rsid w:val="0045338E"/>
    <w:rsid w:val="00453D67"/>
    <w:rsid w:val="00455572"/>
    <w:rsid w:val="00456725"/>
    <w:rsid w:val="00460483"/>
    <w:rsid w:val="00460CE9"/>
    <w:rsid w:val="00464B2E"/>
    <w:rsid w:val="004661DB"/>
    <w:rsid w:val="00481BD1"/>
    <w:rsid w:val="00483C21"/>
    <w:rsid w:val="004938E8"/>
    <w:rsid w:val="00496BA4"/>
    <w:rsid w:val="004975E0"/>
    <w:rsid w:val="004A1A72"/>
    <w:rsid w:val="004A410F"/>
    <w:rsid w:val="004B1C2A"/>
    <w:rsid w:val="004B5145"/>
    <w:rsid w:val="004B573D"/>
    <w:rsid w:val="004B5F79"/>
    <w:rsid w:val="004C4A2D"/>
    <w:rsid w:val="004D2381"/>
    <w:rsid w:val="004D452A"/>
    <w:rsid w:val="004D73FA"/>
    <w:rsid w:val="004D7F33"/>
    <w:rsid w:val="004E2E27"/>
    <w:rsid w:val="004E6233"/>
    <w:rsid w:val="004F3803"/>
    <w:rsid w:val="004F44FC"/>
    <w:rsid w:val="00505A2C"/>
    <w:rsid w:val="00506D8E"/>
    <w:rsid w:val="005210A3"/>
    <w:rsid w:val="005220BA"/>
    <w:rsid w:val="00523239"/>
    <w:rsid w:val="00526A29"/>
    <w:rsid w:val="00527B35"/>
    <w:rsid w:val="00536602"/>
    <w:rsid w:val="0053721C"/>
    <w:rsid w:val="005437CD"/>
    <w:rsid w:val="005448E6"/>
    <w:rsid w:val="00552F27"/>
    <w:rsid w:val="0055301A"/>
    <w:rsid w:val="0055411E"/>
    <w:rsid w:val="005564C9"/>
    <w:rsid w:val="00563D6D"/>
    <w:rsid w:val="005666CC"/>
    <w:rsid w:val="00570190"/>
    <w:rsid w:val="00577E01"/>
    <w:rsid w:val="005840B3"/>
    <w:rsid w:val="005877A9"/>
    <w:rsid w:val="00587E4D"/>
    <w:rsid w:val="00590611"/>
    <w:rsid w:val="005920AC"/>
    <w:rsid w:val="00592FC2"/>
    <w:rsid w:val="00595D08"/>
    <w:rsid w:val="00597B96"/>
    <w:rsid w:val="00597C56"/>
    <w:rsid w:val="005A46D0"/>
    <w:rsid w:val="005B0238"/>
    <w:rsid w:val="005B38F1"/>
    <w:rsid w:val="005B3994"/>
    <w:rsid w:val="005B43CC"/>
    <w:rsid w:val="005B7C88"/>
    <w:rsid w:val="005C1A7F"/>
    <w:rsid w:val="005C31F3"/>
    <w:rsid w:val="005C7913"/>
    <w:rsid w:val="005D1874"/>
    <w:rsid w:val="005D44B5"/>
    <w:rsid w:val="005D65FB"/>
    <w:rsid w:val="005F0A6F"/>
    <w:rsid w:val="005F1822"/>
    <w:rsid w:val="005F260B"/>
    <w:rsid w:val="005F7055"/>
    <w:rsid w:val="005F7574"/>
    <w:rsid w:val="00601626"/>
    <w:rsid w:val="00601A60"/>
    <w:rsid w:val="00602085"/>
    <w:rsid w:val="00602937"/>
    <w:rsid w:val="00602A78"/>
    <w:rsid w:val="006073B8"/>
    <w:rsid w:val="006141CF"/>
    <w:rsid w:val="00620A14"/>
    <w:rsid w:val="00621784"/>
    <w:rsid w:val="0062230B"/>
    <w:rsid w:val="0062491D"/>
    <w:rsid w:val="006273F3"/>
    <w:rsid w:val="00630EF3"/>
    <w:rsid w:val="0063129B"/>
    <w:rsid w:val="006356F4"/>
    <w:rsid w:val="0063745D"/>
    <w:rsid w:val="00640B2A"/>
    <w:rsid w:val="00640FD7"/>
    <w:rsid w:val="006432B0"/>
    <w:rsid w:val="00645DF0"/>
    <w:rsid w:val="00646D45"/>
    <w:rsid w:val="00647C8E"/>
    <w:rsid w:val="00652945"/>
    <w:rsid w:val="00653206"/>
    <w:rsid w:val="006562D1"/>
    <w:rsid w:val="00663B49"/>
    <w:rsid w:val="00672093"/>
    <w:rsid w:val="00680841"/>
    <w:rsid w:val="006916C0"/>
    <w:rsid w:val="00692066"/>
    <w:rsid w:val="006927D9"/>
    <w:rsid w:val="00693FBC"/>
    <w:rsid w:val="0069654D"/>
    <w:rsid w:val="006965F6"/>
    <w:rsid w:val="00697DEE"/>
    <w:rsid w:val="006A1EB2"/>
    <w:rsid w:val="006A3D91"/>
    <w:rsid w:val="006B135F"/>
    <w:rsid w:val="006B21B8"/>
    <w:rsid w:val="006B38D3"/>
    <w:rsid w:val="006B5BEB"/>
    <w:rsid w:val="006C2B48"/>
    <w:rsid w:val="006C32E1"/>
    <w:rsid w:val="006C6C0B"/>
    <w:rsid w:val="006C7EFC"/>
    <w:rsid w:val="006D1734"/>
    <w:rsid w:val="006D42FE"/>
    <w:rsid w:val="006E2320"/>
    <w:rsid w:val="006E23E9"/>
    <w:rsid w:val="006E5B4D"/>
    <w:rsid w:val="006E6C2F"/>
    <w:rsid w:val="006F4DB8"/>
    <w:rsid w:val="006F5D8D"/>
    <w:rsid w:val="0070067A"/>
    <w:rsid w:val="00702941"/>
    <w:rsid w:val="00702AF2"/>
    <w:rsid w:val="007058EF"/>
    <w:rsid w:val="00714614"/>
    <w:rsid w:val="00716534"/>
    <w:rsid w:val="00717E2F"/>
    <w:rsid w:val="00721E22"/>
    <w:rsid w:val="00722008"/>
    <w:rsid w:val="007237C8"/>
    <w:rsid w:val="00724042"/>
    <w:rsid w:val="0072494B"/>
    <w:rsid w:val="00725686"/>
    <w:rsid w:val="00725702"/>
    <w:rsid w:val="007331B8"/>
    <w:rsid w:val="0074146C"/>
    <w:rsid w:val="00747134"/>
    <w:rsid w:val="00750915"/>
    <w:rsid w:val="007518E2"/>
    <w:rsid w:val="00752CE4"/>
    <w:rsid w:val="00756D6E"/>
    <w:rsid w:val="0075795F"/>
    <w:rsid w:val="007603B0"/>
    <w:rsid w:val="00761E38"/>
    <w:rsid w:val="00764C27"/>
    <w:rsid w:val="00765640"/>
    <w:rsid w:val="0076700E"/>
    <w:rsid w:val="007672D6"/>
    <w:rsid w:val="00767E48"/>
    <w:rsid w:val="0077423B"/>
    <w:rsid w:val="00775BDA"/>
    <w:rsid w:val="0077698F"/>
    <w:rsid w:val="00782B2C"/>
    <w:rsid w:val="00784FF2"/>
    <w:rsid w:val="00791E87"/>
    <w:rsid w:val="0079228B"/>
    <w:rsid w:val="007925FA"/>
    <w:rsid w:val="00797802"/>
    <w:rsid w:val="007A33EB"/>
    <w:rsid w:val="007A4CE8"/>
    <w:rsid w:val="007A6A0A"/>
    <w:rsid w:val="007A73E7"/>
    <w:rsid w:val="007B06E1"/>
    <w:rsid w:val="007B2B14"/>
    <w:rsid w:val="007B582C"/>
    <w:rsid w:val="007C2DCC"/>
    <w:rsid w:val="007D0CB9"/>
    <w:rsid w:val="007D70BD"/>
    <w:rsid w:val="007E6A53"/>
    <w:rsid w:val="007E7208"/>
    <w:rsid w:val="007F4F56"/>
    <w:rsid w:val="007F5A6D"/>
    <w:rsid w:val="007F5E19"/>
    <w:rsid w:val="00800318"/>
    <w:rsid w:val="008056B9"/>
    <w:rsid w:val="00807D6F"/>
    <w:rsid w:val="00810ACD"/>
    <w:rsid w:val="00811A50"/>
    <w:rsid w:val="00811D58"/>
    <w:rsid w:val="008206ED"/>
    <w:rsid w:val="0082102E"/>
    <w:rsid w:val="00821E91"/>
    <w:rsid w:val="00822041"/>
    <w:rsid w:val="0082404C"/>
    <w:rsid w:val="00826648"/>
    <w:rsid w:val="008300CA"/>
    <w:rsid w:val="0083038A"/>
    <w:rsid w:val="0083360E"/>
    <w:rsid w:val="00834F7B"/>
    <w:rsid w:val="00841743"/>
    <w:rsid w:val="008430E6"/>
    <w:rsid w:val="00854661"/>
    <w:rsid w:val="0085571A"/>
    <w:rsid w:val="00860F20"/>
    <w:rsid w:val="008633A3"/>
    <w:rsid w:val="008669FF"/>
    <w:rsid w:val="00873960"/>
    <w:rsid w:val="008742D5"/>
    <w:rsid w:val="008769E4"/>
    <w:rsid w:val="00880D02"/>
    <w:rsid w:val="0088238F"/>
    <w:rsid w:val="00883967"/>
    <w:rsid w:val="00884A32"/>
    <w:rsid w:val="008861E9"/>
    <w:rsid w:val="00895DD0"/>
    <w:rsid w:val="008B1DE9"/>
    <w:rsid w:val="008B2932"/>
    <w:rsid w:val="008B3943"/>
    <w:rsid w:val="008B4FF3"/>
    <w:rsid w:val="008B5287"/>
    <w:rsid w:val="008C0B6E"/>
    <w:rsid w:val="008C332B"/>
    <w:rsid w:val="008C3424"/>
    <w:rsid w:val="008C52A8"/>
    <w:rsid w:val="008C711B"/>
    <w:rsid w:val="008C7E11"/>
    <w:rsid w:val="008D08D6"/>
    <w:rsid w:val="008D4CE2"/>
    <w:rsid w:val="008D4FB5"/>
    <w:rsid w:val="008E0419"/>
    <w:rsid w:val="008E3749"/>
    <w:rsid w:val="008E46A3"/>
    <w:rsid w:val="008F0A58"/>
    <w:rsid w:val="008F1DB8"/>
    <w:rsid w:val="0090226E"/>
    <w:rsid w:val="00904A14"/>
    <w:rsid w:val="00905BDA"/>
    <w:rsid w:val="009106F0"/>
    <w:rsid w:val="009121C3"/>
    <w:rsid w:val="00916E24"/>
    <w:rsid w:val="00925F28"/>
    <w:rsid w:val="00930442"/>
    <w:rsid w:val="0093393E"/>
    <w:rsid w:val="009340DA"/>
    <w:rsid w:val="00934C04"/>
    <w:rsid w:val="0094424F"/>
    <w:rsid w:val="00945770"/>
    <w:rsid w:val="0095423C"/>
    <w:rsid w:val="00957849"/>
    <w:rsid w:val="009606FC"/>
    <w:rsid w:val="009658B0"/>
    <w:rsid w:val="009770A6"/>
    <w:rsid w:val="00977C6E"/>
    <w:rsid w:val="009814D5"/>
    <w:rsid w:val="00984E31"/>
    <w:rsid w:val="0099053A"/>
    <w:rsid w:val="00991E93"/>
    <w:rsid w:val="009922CD"/>
    <w:rsid w:val="00996046"/>
    <w:rsid w:val="009A064D"/>
    <w:rsid w:val="009A0691"/>
    <w:rsid w:val="009A099D"/>
    <w:rsid w:val="009D34D6"/>
    <w:rsid w:val="009D6786"/>
    <w:rsid w:val="009D70A6"/>
    <w:rsid w:val="009D7739"/>
    <w:rsid w:val="009F1726"/>
    <w:rsid w:val="009F321C"/>
    <w:rsid w:val="009F4AC4"/>
    <w:rsid w:val="009F5634"/>
    <w:rsid w:val="009F7D80"/>
    <w:rsid w:val="00A01938"/>
    <w:rsid w:val="00A04630"/>
    <w:rsid w:val="00A0648D"/>
    <w:rsid w:val="00A10644"/>
    <w:rsid w:val="00A2081E"/>
    <w:rsid w:val="00A222D9"/>
    <w:rsid w:val="00A22B74"/>
    <w:rsid w:val="00A23F91"/>
    <w:rsid w:val="00A26677"/>
    <w:rsid w:val="00A31A69"/>
    <w:rsid w:val="00A37A33"/>
    <w:rsid w:val="00A37FB5"/>
    <w:rsid w:val="00A417A8"/>
    <w:rsid w:val="00A4605A"/>
    <w:rsid w:val="00A515F1"/>
    <w:rsid w:val="00A53F2C"/>
    <w:rsid w:val="00A57175"/>
    <w:rsid w:val="00A60A61"/>
    <w:rsid w:val="00A61683"/>
    <w:rsid w:val="00A62C18"/>
    <w:rsid w:val="00A6616C"/>
    <w:rsid w:val="00A663C2"/>
    <w:rsid w:val="00A73DE4"/>
    <w:rsid w:val="00A743AE"/>
    <w:rsid w:val="00A82AAA"/>
    <w:rsid w:val="00A82CEB"/>
    <w:rsid w:val="00A85E8F"/>
    <w:rsid w:val="00A873EB"/>
    <w:rsid w:val="00AA0CFD"/>
    <w:rsid w:val="00AA18C2"/>
    <w:rsid w:val="00AA2A3C"/>
    <w:rsid w:val="00AA2C98"/>
    <w:rsid w:val="00AA7929"/>
    <w:rsid w:val="00AB0191"/>
    <w:rsid w:val="00AB10A8"/>
    <w:rsid w:val="00AB14E2"/>
    <w:rsid w:val="00AB2ABD"/>
    <w:rsid w:val="00AB3DEA"/>
    <w:rsid w:val="00AB4AD5"/>
    <w:rsid w:val="00AB6124"/>
    <w:rsid w:val="00AC1532"/>
    <w:rsid w:val="00AC17F2"/>
    <w:rsid w:val="00AC1DF3"/>
    <w:rsid w:val="00AC28D3"/>
    <w:rsid w:val="00AC7ACD"/>
    <w:rsid w:val="00AC7F25"/>
    <w:rsid w:val="00AD2A96"/>
    <w:rsid w:val="00AD33C1"/>
    <w:rsid w:val="00AD5A4D"/>
    <w:rsid w:val="00AE107C"/>
    <w:rsid w:val="00AE438C"/>
    <w:rsid w:val="00AE7378"/>
    <w:rsid w:val="00AF402C"/>
    <w:rsid w:val="00AF7CCE"/>
    <w:rsid w:val="00B03230"/>
    <w:rsid w:val="00B06C29"/>
    <w:rsid w:val="00B14B24"/>
    <w:rsid w:val="00B165D1"/>
    <w:rsid w:val="00B2339D"/>
    <w:rsid w:val="00B3161E"/>
    <w:rsid w:val="00B32E48"/>
    <w:rsid w:val="00B3371F"/>
    <w:rsid w:val="00B42E16"/>
    <w:rsid w:val="00B46F0D"/>
    <w:rsid w:val="00B54189"/>
    <w:rsid w:val="00B54492"/>
    <w:rsid w:val="00B57C46"/>
    <w:rsid w:val="00B614EC"/>
    <w:rsid w:val="00B65AD8"/>
    <w:rsid w:val="00B6666B"/>
    <w:rsid w:val="00B70257"/>
    <w:rsid w:val="00B737D4"/>
    <w:rsid w:val="00B7412F"/>
    <w:rsid w:val="00B75E30"/>
    <w:rsid w:val="00B77C83"/>
    <w:rsid w:val="00B81BD4"/>
    <w:rsid w:val="00B873C2"/>
    <w:rsid w:val="00B914D8"/>
    <w:rsid w:val="00B96D10"/>
    <w:rsid w:val="00BA0B9F"/>
    <w:rsid w:val="00BA5958"/>
    <w:rsid w:val="00BB3C44"/>
    <w:rsid w:val="00BB692D"/>
    <w:rsid w:val="00BC1973"/>
    <w:rsid w:val="00BD085F"/>
    <w:rsid w:val="00BD0EA6"/>
    <w:rsid w:val="00BD17A9"/>
    <w:rsid w:val="00BD1F12"/>
    <w:rsid w:val="00BD203A"/>
    <w:rsid w:val="00BD2861"/>
    <w:rsid w:val="00BD3BCE"/>
    <w:rsid w:val="00BE0E8D"/>
    <w:rsid w:val="00BE1B89"/>
    <w:rsid w:val="00BE2704"/>
    <w:rsid w:val="00BE4D7E"/>
    <w:rsid w:val="00BE5B2F"/>
    <w:rsid w:val="00BE610C"/>
    <w:rsid w:val="00BF05CD"/>
    <w:rsid w:val="00BF653D"/>
    <w:rsid w:val="00C01CFB"/>
    <w:rsid w:val="00C04B10"/>
    <w:rsid w:val="00C10314"/>
    <w:rsid w:val="00C11BC8"/>
    <w:rsid w:val="00C30ADE"/>
    <w:rsid w:val="00C335E3"/>
    <w:rsid w:val="00C34FC0"/>
    <w:rsid w:val="00C34FE2"/>
    <w:rsid w:val="00C52513"/>
    <w:rsid w:val="00C57CB6"/>
    <w:rsid w:val="00C6468D"/>
    <w:rsid w:val="00C65619"/>
    <w:rsid w:val="00C715B9"/>
    <w:rsid w:val="00C73A1D"/>
    <w:rsid w:val="00C75F82"/>
    <w:rsid w:val="00C767AB"/>
    <w:rsid w:val="00C76ECB"/>
    <w:rsid w:val="00C8249F"/>
    <w:rsid w:val="00C832EF"/>
    <w:rsid w:val="00C90973"/>
    <w:rsid w:val="00CA0243"/>
    <w:rsid w:val="00CA144C"/>
    <w:rsid w:val="00CA233F"/>
    <w:rsid w:val="00CA76EB"/>
    <w:rsid w:val="00CB0D1C"/>
    <w:rsid w:val="00CB20D1"/>
    <w:rsid w:val="00CB3999"/>
    <w:rsid w:val="00CB4B3A"/>
    <w:rsid w:val="00CC03BB"/>
    <w:rsid w:val="00CC18C9"/>
    <w:rsid w:val="00CC43EF"/>
    <w:rsid w:val="00CD1413"/>
    <w:rsid w:val="00CD3DCF"/>
    <w:rsid w:val="00CD4C02"/>
    <w:rsid w:val="00CD6841"/>
    <w:rsid w:val="00CE1EDC"/>
    <w:rsid w:val="00CF35A9"/>
    <w:rsid w:val="00CF3685"/>
    <w:rsid w:val="00D001B5"/>
    <w:rsid w:val="00D053C8"/>
    <w:rsid w:val="00D0586B"/>
    <w:rsid w:val="00D066EC"/>
    <w:rsid w:val="00D07E23"/>
    <w:rsid w:val="00D127CD"/>
    <w:rsid w:val="00D139E3"/>
    <w:rsid w:val="00D14071"/>
    <w:rsid w:val="00D15237"/>
    <w:rsid w:val="00D1709F"/>
    <w:rsid w:val="00D22296"/>
    <w:rsid w:val="00D22A5E"/>
    <w:rsid w:val="00D22FE5"/>
    <w:rsid w:val="00D31424"/>
    <w:rsid w:val="00D34108"/>
    <w:rsid w:val="00D34EA4"/>
    <w:rsid w:val="00D474AB"/>
    <w:rsid w:val="00D6083F"/>
    <w:rsid w:val="00D628DB"/>
    <w:rsid w:val="00D65152"/>
    <w:rsid w:val="00D660C4"/>
    <w:rsid w:val="00D70D95"/>
    <w:rsid w:val="00D72153"/>
    <w:rsid w:val="00D743C4"/>
    <w:rsid w:val="00D7654D"/>
    <w:rsid w:val="00D76DB4"/>
    <w:rsid w:val="00D82840"/>
    <w:rsid w:val="00D849B7"/>
    <w:rsid w:val="00D85BD0"/>
    <w:rsid w:val="00D94A0B"/>
    <w:rsid w:val="00D95D5F"/>
    <w:rsid w:val="00D974BE"/>
    <w:rsid w:val="00D97674"/>
    <w:rsid w:val="00DA10E7"/>
    <w:rsid w:val="00DA18A2"/>
    <w:rsid w:val="00DA26EA"/>
    <w:rsid w:val="00DB4855"/>
    <w:rsid w:val="00DC0D81"/>
    <w:rsid w:val="00DC52F6"/>
    <w:rsid w:val="00DD1FB3"/>
    <w:rsid w:val="00DD3007"/>
    <w:rsid w:val="00DD3FF2"/>
    <w:rsid w:val="00DD4ED3"/>
    <w:rsid w:val="00DE4128"/>
    <w:rsid w:val="00DE4242"/>
    <w:rsid w:val="00DE4F52"/>
    <w:rsid w:val="00DF0415"/>
    <w:rsid w:val="00DF1B4C"/>
    <w:rsid w:val="00E03A5F"/>
    <w:rsid w:val="00E06081"/>
    <w:rsid w:val="00E13148"/>
    <w:rsid w:val="00E1522C"/>
    <w:rsid w:val="00E1797F"/>
    <w:rsid w:val="00E236CE"/>
    <w:rsid w:val="00E324F8"/>
    <w:rsid w:val="00E36947"/>
    <w:rsid w:val="00E36955"/>
    <w:rsid w:val="00E37A19"/>
    <w:rsid w:val="00E41BAB"/>
    <w:rsid w:val="00E41D56"/>
    <w:rsid w:val="00E424B1"/>
    <w:rsid w:val="00E44009"/>
    <w:rsid w:val="00E53BF7"/>
    <w:rsid w:val="00E555EB"/>
    <w:rsid w:val="00E55E4F"/>
    <w:rsid w:val="00E6674B"/>
    <w:rsid w:val="00E70471"/>
    <w:rsid w:val="00E74C3E"/>
    <w:rsid w:val="00E82013"/>
    <w:rsid w:val="00E8476F"/>
    <w:rsid w:val="00E84BC4"/>
    <w:rsid w:val="00E90D67"/>
    <w:rsid w:val="00E91E71"/>
    <w:rsid w:val="00E935AC"/>
    <w:rsid w:val="00E9570A"/>
    <w:rsid w:val="00EA07AC"/>
    <w:rsid w:val="00EB1AAA"/>
    <w:rsid w:val="00EB3137"/>
    <w:rsid w:val="00EC565B"/>
    <w:rsid w:val="00EC5B69"/>
    <w:rsid w:val="00EC785A"/>
    <w:rsid w:val="00ED02B5"/>
    <w:rsid w:val="00ED7127"/>
    <w:rsid w:val="00EE647C"/>
    <w:rsid w:val="00EF25D4"/>
    <w:rsid w:val="00F00823"/>
    <w:rsid w:val="00F01DD9"/>
    <w:rsid w:val="00F02762"/>
    <w:rsid w:val="00F115B7"/>
    <w:rsid w:val="00F11901"/>
    <w:rsid w:val="00F12EF6"/>
    <w:rsid w:val="00F13A0E"/>
    <w:rsid w:val="00F140F6"/>
    <w:rsid w:val="00F17A22"/>
    <w:rsid w:val="00F215D1"/>
    <w:rsid w:val="00F23AD9"/>
    <w:rsid w:val="00F24701"/>
    <w:rsid w:val="00F247AF"/>
    <w:rsid w:val="00F325AA"/>
    <w:rsid w:val="00F32A60"/>
    <w:rsid w:val="00F33965"/>
    <w:rsid w:val="00F3561E"/>
    <w:rsid w:val="00F37A4D"/>
    <w:rsid w:val="00F44E1F"/>
    <w:rsid w:val="00F45E8C"/>
    <w:rsid w:val="00F4798E"/>
    <w:rsid w:val="00F53073"/>
    <w:rsid w:val="00F548D8"/>
    <w:rsid w:val="00F55D43"/>
    <w:rsid w:val="00F56874"/>
    <w:rsid w:val="00F7080C"/>
    <w:rsid w:val="00F75E0D"/>
    <w:rsid w:val="00F87C5E"/>
    <w:rsid w:val="00F90510"/>
    <w:rsid w:val="00F93FA1"/>
    <w:rsid w:val="00F94116"/>
    <w:rsid w:val="00FA089F"/>
    <w:rsid w:val="00FA0C32"/>
    <w:rsid w:val="00FA2518"/>
    <w:rsid w:val="00FA59A1"/>
    <w:rsid w:val="00FB2B75"/>
    <w:rsid w:val="00FB36BF"/>
    <w:rsid w:val="00FB504B"/>
    <w:rsid w:val="00FC05FC"/>
    <w:rsid w:val="00FC2A98"/>
    <w:rsid w:val="00FC3B6C"/>
    <w:rsid w:val="00FC7674"/>
    <w:rsid w:val="00FD75FB"/>
    <w:rsid w:val="00FE0F36"/>
    <w:rsid w:val="00FE486B"/>
    <w:rsid w:val="00FF11C4"/>
    <w:rsid w:val="00FF1358"/>
    <w:rsid w:val="00FF58A0"/>
    <w:rsid w:val="00FF5CC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920E1"/>
  <w15:chartTrackingRefBased/>
  <w15:docId w15:val="{549A1ACC-F540-48F9-BBCB-34D8154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0D"/>
  </w:style>
  <w:style w:type="paragraph" w:styleId="Ttulo1">
    <w:name w:val="heading 1"/>
    <w:basedOn w:val="Normal"/>
    <w:next w:val="Normal"/>
    <w:link w:val="Ttulo1Char"/>
    <w:qFormat/>
    <w:rsid w:val="00E8476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0323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03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A46D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A46D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6D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A46D0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6947"/>
  </w:style>
  <w:style w:type="paragraph" w:styleId="Rodap">
    <w:name w:val="footer"/>
    <w:basedOn w:val="Normal"/>
    <w:link w:val="RodapChar"/>
    <w:uiPriority w:val="99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47"/>
  </w:style>
  <w:style w:type="character" w:customStyle="1" w:styleId="Ttulo1Char">
    <w:name w:val="Título 1 Char"/>
    <w:basedOn w:val="Fontepargpadro"/>
    <w:link w:val="Ttulo1"/>
    <w:rsid w:val="00E847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0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032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B0323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2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3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230"/>
    <w:rPr>
      <w:rFonts w:ascii="Cambria" w:eastAsia="Cambria" w:hAnsi="Cambria" w:cs="Cambria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0323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B03230"/>
    <w:rPr>
      <w:vertAlign w:val="superscript"/>
    </w:rPr>
  </w:style>
  <w:style w:type="character" w:customStyle="1" w:styleId="e24kjd">
    <w:name w:val="e24kjd"/>
    <w:basedOn w:val="Fontepargpadro"/>
    <w:rsid w:val="00B03230"/>
  </w:style>
  <w:style w:type="paragraph" w:styleId="Textodebalo">
    <w:name w:val="Balloon Text"/>
    <w:basedOn w:val="Normal"/>
    <w:link w:val="TextodebaloChar"/>
    <w:uiPriority w:val="99"/>
    <w:unhideWhenUsed/>
    <w:rsid w:val="00B032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0323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B0323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032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B03230"/>
    <w:rPr>
      <w:rFonts w:eastAsiaTheme="minorEastAsia"/>
      <w:lang w:eastAsia="pt-BR"/>
    </w:rPr>
  </w:style>
  <w:style w:type="paragraph" w:customStyle="1" w:styleId="style5">
    <w:name w:val="style5"/>
    <w:basedOn w:val="Normal"/>
    <w:rsid w:val="00B032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pt-BR"/>
    </w:rPr>
  </w:style>
  <w:style w:type="character" w:styleId="Forte">
    <w:name w:val="Strong"/>
    <w:uiPriority w:val="22"/>
    <w:qFormat/>
    <w:rsid w:val="00B03230"/>
    <w:rPr>
      <w:b/>
      <w:bCs/>
    </w:rPr>
  </w:style>
  <w:style w:type="character" w:styleId="Nmerodepgina">
    <w:name w:val="page number"/>
    <w:basedOn w:val="Fontepargpadro"/>
    <w:rsid w:val="00B03230"/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3230"/>
  </w:style>
  <w:style w:type="paragraph" w:customStyle="1" w:styleId="04partenormativa">
    <w:name w:val="04partenormativa"/>
    <w:basedOn w:val="Normal"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fim">
    <w:name w:val="endnote reference"/>
    <w:rsid w:val="00B0323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qFormat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0323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5634"/>
    <w:pPr>
      <w:tabs>
        <w:tab w:val="right" w:leader="dot" w:pos="9379"/>
      </w:tabs>
      <w:spacing w:after="100" w:line="240" w:lineRule="auto"/>
      <w:ind w:left="440"/>
    </w:pPr>
    <w:rPr>
      <w:rFonts w:ascii="Calibri" w:eastAsia="Times New Roman" w:hAnsi="Calibri" w:cs="Times New Roman"/>
    </w:rPr>
  </w:style>
  <w:style w:type="character" w:styleId="Refdecomentrio">
    <w:name w:val="annotation reference"/>
    <w:rsid w:val="00B032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03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0323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fontstyle21">
    <w:name w:val="fontstyle21"/>
    <w:rsid w:val="00B032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032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03230"/>
    <w:rPr>
      <w:rFonts w:ascii="TheSerif-Bold" w:hAnsi="TheSerif-Bold" w:hint="default"/>
      <w:b/>
      <w:bCs/>
      <w:i w:val="0"/>
      <w:iCs w:val="0"/>
      <w:color w:val="411B2A"/>
      <w:sz w:val="16"/>
      <w:szCs w:val="16"/>
    </w:rPr>
  </w:style>
  <w:style w:type="character" w:customStyle="1" w:styleId="fontstyle51">
    <w:name w:val="fontstyle51"/>
    <w:rsid w:val="00B03230"/>
    <w:rPr>
      <w:rFonts w:ascii="TheSans-B2ExtraLight" w:hAnsi="TheSans-B2ExtraLigh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B0323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032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4z0">
    <w:name w:val="WW8Num4z0"/>
    <w:rsid w:val="00B03230"/>
    <w:rPr>
      <w:rFonts w:ascii="Symbol" w:hAnsi="Symbol" w:cs="Symbol"/>
    </w:rPr>
  </w:style>
  <w:style w:type="character" w:customStyle="1" w:styleId="highlight">
    <w:name w:val="highlight"/>
    <w:basedOn w:val="Fontepargpadro"/>
    <w:rsid w:val="00B03230"/>
  </w:style>
  <w:style w:type="character" w:customStyle="1" w:styleId="xsn">
    <w:name w:val="xsn"/>
    <w:basedOn w:val="Fontepargpadro"/>
    <w:rsid w:val="00B03230"/>
  </w:style>
  <w:style w:type="character" w:styleId="HiperlinkVisitado">
    <w:name w:val="FollowedHyperlink"/>
    <w:basedOn w:val="Fontepargpadro"/>
    <w:semiHidden/>
    <w:unhideWhenUsed/>
    <w:rsid w:val="00B03230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7D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B7D6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B7D6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B7D6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B7D6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B7D6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B7D61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B7D61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E82013"/>
    <w:rPr>
      <w:i/>
      <w:iCs/>
      <w:color w:val="4472C4" w:themeColor="accent1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5º edição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06D29-37DF-40E6-A00A-8D25249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Orientações para Emissão do RELUCI</vt:lpstr>
    </vt:vector>
  </TitlesOfParts>
  <Company>SECONT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Orientações para Emissão do RELUCI</dc:title>
  <dc:subject>Seretaria de Estado de Controle e Transparência - SECONT</dc:subject>
  <dc:creator>Giovani Pugnal</dc:creator>
  <cp:keywords/>
  <dc:description/>
  <cp:lastModifiedBy>Fabricio Borgo</cp:lastModifiedBy>
  <cp:revision>2</cp:revision>
  <cp:lastPrinted>2022-10-13T19:02:00Z</cp:lastPrinted>
  <dcterms:created xsi:type="dcterms:W3CDTF">2022-10-28T13:29:00Z</dcterms:created>
  <dcterms:modified xsi:type="dcterms:W3CDTF">2022-10-28T13:29:00Z</dcterms:modified>
</cp:coreProperties>
</file>